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岳阳市水利局部门</w:t>
      </w: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部门（单位）基本情况</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1、职责职能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市水利局贯彻落实党中央关于水利工作的方针政策和决策部署，全面落实省委、市委关于水利工作的部署要求，在履行职责过程中坚持和加强党对水利工作的集中统一领导。主要职责是:</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（1）负责保障水资源的合理开发利用。拟订水利政策和规划，起草有关地方性法规、规章草案，组织编制全市水资源规划、市确定的重要江河湖泊流域综合规划、防洪规划等较大水利规划。</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生活、生产经营和生态环境用水的统筹和保障。组织实施最严格水资源管理制度，实施水资源的统一监督管理，拟订全市和跨区域水中长期供求规划、水量分配方案并监督实施。负责重要流域、区域以及较大调水工程的水资源调度。组织实施取水许可、水资源论证和防洪论证制度，指导开展水资源有偿使用工作。指导全市水利行业供水和乡镇供水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规定制定水利工程建设和运行管理有关制度并组织实施，负责提出水利固定资产投资规模、方向、具体安排建议并组织指导实施，按市人民政府规定权限审批、核准规划内和年度计划规模内固定资产投资项目，提出水利资金安排建议并负责项目实施的监督管理。</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（4）指导水资源保护工作。组织编制实施水资源保护规划。指导饮用水水源保护有关工作。指导地下水开发利用、地下水资源管理保护。</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（5）负责节约用水工作。拟订节约用水政策，组织编制节约用水规划并监督实施，组织制定有关标准。组织实施用水总量控制等管理制度，指导和推动节水型社会建设工作。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（6）按规定组织开展水资源、水能资源调查评价和水资源承载能力监测预警工作；负责编制并发布市级水资源公报。</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水利设施、水域及其岸线的管理、保护与综合利用。指导江河湖泊及河口的治理、开发和保护。指导河湖水生态保护与修复、河湖生态流量水量管理以及河湖水系连通工作。指导洞庭湖区水利管理工作。承担河（湖）长制组织实施具体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（8）指导监督水利工程建设与运行管理。组织指导水利基础设施网络建设和运行管理。指导水利建设市场的监督管理，组织实施水利工程建设的监督。</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（9）负责水土保持工作。拟订水土保持规划并监督实施， 组织实施水土流失的综合防治、监测预报并定期公告。负责建设项目水土保持监督管理工作，指导重点水土保持建设项目的实施。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指导农村水利工作。组织开展较大型灌排工程建设与改造。指导农村饮水安全工程建设管理工作，指导节水灌溉有关工作。指导农村水利改革创新和社会化服务体系建设。指导农村水能资源开发、小水电改造和水电农村电气化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（11）负责水库移民管理工作。贯彻落实水库移民有关政策，组织实施水库移民安置验收、监督评估等制度，指导监督水库移民后期扶持政策的实施；负责管理水库移民资金。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指导协调重大涉水违法事件的查处，协调跨县市区水事纠纷，负责市辖区范围内的水政监察和水行政执法，指导县市水政监察和水行政执法。依法负责水利行业安全生产工作，组织指导水库、水电站大坝等水利工程设施的安全监管。</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（13）开展水利科技和外事工作。参与拟订水利行业的地方技术标准、规程规范并监督实施，组织开展水利行业质量监督工作。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负责落实综合防灾减灾规划相关要求，组织编制洪水干旱灾害防治规划和防护标准并指导实施。负责水情旱情预警工作。组织编制重要江河湖泊和重要水工程的防御洪水抗御旱灾调度及应急水量调度方案，按程序报批并组织实施。承担防御洪水应急抢险的技术支撑工作。承担台风防御期间重要水工程调度工作。</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（15）完成市委和市政府交办的其他事项。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职能转变。市水利局应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keepNext w:val="0"/>
        <w:keepLines w:val="0"/>
        <w:pageBreakBefore w:val="0"/>
        <w:numPr>
          <w:ilvl w:val="0"/>
          <w:numId w:val="0"/>
        </w:numPr>
        <w:kinsoku/>
        <w:wordWrap/>
        <w:overflowPunct/>
        <w:topLinePunct w:val="0"/>
        <w:autoSpaceDE/>
        <w:autoSpaceDN/>
        <w:bidi w:val="0"/>
        <w:adjustRightInd/>
        <w:snapToGrid/>
        <w:spacing w:line="640" w:lineRule="exact"/>
        <w:ind w:left="560" w:leftChars="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内设科室17个，分别是办公室、规划计划与科技科、调研法规科、水资源管理科、水利工程建设科、运行管理监督科、河湖管理科、水土保持科、农村水利水电科、移民后期扶持科、移民开发管理科、河长制工作科、行政审批科、财务科、人事科、机关党委（纪委）、离退休人员管理服务科。2022年我单位在职人员146名，退休人员143名，离休人员1名。</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7"/>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基本支出共计5383.31万元，其中人员经费4674.78万元，主要为在职及离退休人员工资、津补贴、社会保障缴费、抚恤金等支出；公用支出708.54万元，主要为用于保障机关正常运转所需开支的办公费、差旅费、招待费、会议费、培训费、公务用车运行维护费、物业管理费等。</w:t>
      </w:r>
    </w:p>
    <w:p>
      <w:pPr>
        <w:pStyle w:val="7"/>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2022年度项目支出共计3685.24万元，主要用于水利工程建设、防汛抗旱工作经费支出、河道采砂规范管理工作经费、水资源管理保护工作经费、水土保持专项经费等。</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2022年度政府性基金预算2万元，2022年决算支出共计2万元，主要用于办公费。</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2022年度无国有资本经营预算支出。</w:t>
      </w:r>
    </w:p>
    <w:p>
      <w:pPr>
        <w:pStyle w:val="7"/>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2022年度无社会保险基金预算支出。</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在培根铸魂抓党建上交出了旗帜鲜明、对党忠诚的“政治答卷”。一是加强党的政治建设。二是打造过硬干部队伍。坚持党管人才原则，树立正确用人风向标，深入开展“能力作风提升年”建设，全力打造素质高、能力强、作风硬的水利干部队伍。三是落实党风廉政建设。深入推进“清廉岳阳水利”建设，搭建清廉文化“一室一厅一堂一长廊”阵地，定期开展“道德讲堂”。开展“洞庭清波”、国家公职人员打牌赌博和违规吃喝问题等专项整治，对发现的违纪违规问题严肃处理，共立案查处5起，给予党纪政务处分3人，组织处理11人，严格落实市委巡察反馈问题整改，反馈的27个问题已完成整改25个，剩余2个已进入销号程序。</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2、在担当作为抗大旱上交出了有长旱情、无大旱灾的</w:t>
      </w:r>
      <w:r>
        <w:rPr>
          <w:rFonts w:hint="eastAsia" w:ascii="仿宋_GB2312" w:hAnsi="仿宋_GB2312" w:eastAsia="仿宋_GB2312" w:cs="仿宋_GB2312"/>
          <w:sz w:val="32"/>
          <w:szCs w:val="32"/>
          <w:lang w:val="zh-CN" w:eastAsia="zh-CN"/>
        </w:rPr>
        <w:t>“历史</w:t>
      </w:r>
      <w:r>
        <w:rPr>
          <w:rFonts w:hint="eastAsia" w:ascii="仿宋_GB2312" w:hAnsi="仿宋_GB2312" w:eastAsia="仿宋_GB2312" w:cs="仿宋_GB2312"/>
          <w:sz w:val="32"/>
          <w:szCs w:val="32"/>
          <w:lang w:val="en-US" w:eastAsia="zh-CN"/>
        </w:rPr>
        <w:t>答卷”。积极应对汛期14轮强降雨，织密织牢“人防物防技防”保障网，认真抓好汛情研判、监测预警、工程调度、督查督导等工作，确保了度汛安全。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服务经济稳大盘上交出了增效赋能、提质加速的“发展答卷”。一是争资争项卓有成效。全市共争取水利项目资金26.51亿元。二是水利建设扎实推进。加紧加密调度，形成“开工一批、建设一批、竣工一批”的滚动接续机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4、在管水护水增亮色上交出了生态优先、绿色发展的“生态答卷”。一是河湖长制走深走实。二是水资源管理成效突出。三是水土保持监管到位。</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5、在兴水惠民办实事上交出了群众满意、保障有力的</w:t>
      </w:r>
      <w:r>
        <w:rPr>
          <w:rFonts w:hint="eastAsia" w:ascii="仿宋_GB2312" w:hAnsi="仿宋_GB2312" w:eastAsia="仿宋_GB2312" w:cs="仿宋_GB2312"/>
          <w:sz w:val="32"/>
          <w:szCs w:val="32"/>
          <w:lang w:val="zh-CN" w:eastAsia="zh-CN"/>
        </w:rPr>
        <w:t>“民生</w:t>
      </w:r>
      <w:r>
        <w:rPr>
          <w:rFonts w:hint="eastAsia" w:ascii="仿宋_GB2312" w:hAnsi="仿宋_GB2312" w:eastAsia="仿宋_GB2312" w:cs="仿宋_GB2312"/>
          <w:sz w:val="32"/>
          <w:szCs w:val="32"/>
          <w:lang w:val="en-US" w:eastAsia="zh-CN"/>
        </w:rPr>
        <w:t>答卷”。一是民生实事全面完成。二是农饮安全落到实处。三是移民库区和谐稳定。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6、在依法依规强监管上交出了依法治水、依法履责的</w:t>
      </w:r>
      <w:r>
        <w:rPr>
          <w:rFonts w:hint="eastAsia" w:ascii="仿宋_GB2312" w:hAnsi="仿宋_GB2312" w:eastAsia="仿宋_GB2312" w:cs="仿宋_GB2312"/>
          <w:sz w:val="32"/>
          <w:szCs w:val="32"/>
          <w:lang w:val="zh-CN" w:eastAsia="zh-CN"/>
        </w:rPr>
        <w:t>“法</w:t>
      </w:r>
      <w:r>
        <w:rPr>
          <w:rFonts w:hint="eastAsia" w:ascii="仿宋_GB2312" w:hAnsi="仿宋_GB2312" w:eastAsia="仿宋_GB2312" w:cs="仿宋_GB2312"/>
          <w:sz w:val="32"/>
          <w:szCs w:val="32"/>
          <w:lang w:val="en-US" w:eastAsia="zh-CN"/>
        </w:rPr>
        <w:t>治答卷”。一是水法规宣传全面开展。二是放管服改革深入推进。三是水行政执法从严从紧。四是水工程建管安全有序。</w:t>
      </w:r>
    </w:p>
    <w:p>
      <w:pPr>
        <w:pStyle w:val="7"/>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1、长江修防中心下辖四座电排，其中吉家湖电排是建于90年代，设备陈旧老化，排涝标准低，急需对此电排更新重建。目前财政拨付的资金只能基本维持日常维护和一般性的应急处险。</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2、资产管理不够规范，管理制度未得到有效执行，存在闲置资产；</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微软雅黑" w:hAnsi="微软雅黑" w:eastAsia="微软雅黑" w:cs="微软雅黑"/>
          <w:i w:val="0"/>
          <w:iCs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sz w:val="32"/>
          <w:szCs w:val="32"/>
          <w:lang w:val="en-US" w:eastAsia="zh-CN"/>
        </w:rPr>
        <w:t>3、预算编制不够合理，一般预算经费较少，而支出较大，存在资金缺口。</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1、完善相关管理制度，强化行政管理职能，确保制度贯彻落实；</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2、加强资产管理，提高固定资产使用效率；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3、加强预算管理，定期做好预算执行情况分析。</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拟按照部门整体支出绩效评价结果作为以后年度预算安排分配依据，部门整体支出绩效自评报告拟在岳阳市水利局门户网站上公开。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spacing w:after="120" w:afterLines="50" w:line="600" w:lineRule="exact"/>
        <w:jc w:val="both"/>
        <w:rPr>
          <w:rFonts w:hint="default" w:ascii="方正小标宋简体" w:hAnsi="方正小标宋简体" w:eastAsia="方正小标宋简体" w:cs="方正小标宋简体"/>
          <w:sz w:val="36"/>
          <w:szCs w:val="36"/>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165</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146</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88.48%</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85.57</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67.37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67.37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47.63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55.92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55.92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47.63</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55.92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55.92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34.94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11.45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3132.97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3719.00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3685.24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财源建设奖励经费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0.81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地方水利建设资金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水利建设资金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25.56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水利建设专项支出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116.96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水利工程运行维护专项支出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7.64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“十四五”规划、水利科技项目经费等</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水资源管理专项经费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339.2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防汛抗灾专项经费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158.88</w:t>
            </w:r>
          </w:p>
        </w:tc>
      </w:tr>
      <w:tr>
        <w:tblPrEx>
          <w:tblCellMar>
            <w:top w:w="0" w:type="dxa"/>
            <w:left w:w="108" w:type="dxa"/>
            <w:bottom w:w="0" w:type="dxa"/>
            <w:right w:w="108" w:type="dxa"/>
          </w:tblCellMar>
        </w:tblPrEx>
        <w:trPr>
          <w:trHeight w:val="42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抗旱专项经费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库区移民经费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河道采砂专项资金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2771.89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支出项目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75.65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default" w:ascii="仿宋_GB2312" w:hAnsi="仿宋_GB2312" w:eastAsia="仿宋_GB2312" w:cs="仿宋_GB2312"/>
                <w:sz w:val="20"/>
                <w:szCs w:val="20"/>
                <w:lang w:val="en-US" w:eastAsia="zh-CN"/>
              </w:rPr>
              <w:t>工程项目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14.35</w:t>
            </w:r>
          </w:p>
        </w:tc>
      </w:tr>
      <w:tr>
        <w:tblPrEx>
          <w:tblCellMar>
            <w:top w:w="0" w:type="dxa"/>
            <w:left w:w="108" w:type="dxa"/>
            <w:bottom w:w="0" w:type="dxa"/>
            <w:right w:w="108" w:type="dxa"/>
          </w:tblCellMar>
        </w:tblPrEx>
        <w:trPr>
          <w:trHeight w:val="37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484.85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708.54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708.54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38.65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29.65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rPr>
            </w:pPr>
            <w:r>
              <w:rPr>
                <w:rFonts w:hint="eastAsia" w:ascii="仿宋_GB2312" w:hAnsi="仿宋_GB2312" w:eastAsia="仿宋_GB2312" w:cs="仿宋_GB2312"/>
                <w:sz w:val="20"/>
                <w:szCs w:val="20"/>
                <w:lang w:val="en-US" w:eastAsia="zh-CN"/>
              </w:rPr>
              <w:t>71.46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57.09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57.09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rPr>
            </w:pPr>
            <w:r>
              <w:rPr>
                <w:rFonts w:hint="eastAsia" w:ascii="仿宋_GB2312" w:hAnsi="仿宋_GB2312" w:eastAsia="仿宋_GB2312" w:cs="仿宋_GB2312"/>
                <w:color w:val="auto"/>
                <w:sz w:val="20"/>
                <w:szCs w:val="20"/>
                <w:lang w:val="en-US" w:eastAsia="zh-CN"/>
              </w:rPr>
              <w:t>0.33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sz w:val="20"/>
                <w:szCs w:val="20"/>
                <w:lang w:val="en-US" w:eastAsia="zh-CN"/>
              </w:rPr>
              <w:t>0.86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0.86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1244.09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2600.00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2508.85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eastAsia="zh-CN"/>
        </w:rPr>
        <w:t>周望君</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填报日期：</w:t>
      </w:r>
      <w:r>
        <w:rPr>
          <w:rFonts w:hint="eastAsia" w:ascii="Times New Roman" w:hAnsi="Times New Roman" w:eastAsia="仿宋_GB2312" w:cs="Times New Roman"/>
          <w:sz w:val="22"/>
          <w:lang w:val="en-US" w:eastAsia="zh-CN"/>
        </w:rPr>
        <w:t xml:space="preserve">2023.7.14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8092208  </w:t>
      </w:r>
      <w:r>
        <w:rPr>
          <w:rFonts w:hint="default" w:ascii="Times New Roman" w:hAnsi="Times New Roman" w:eastAsia="仿宋_GB2312" w:cs="Times New Roman"/>
          <w:sz w:val="22"/>
        </w:rPr>
        <w:t>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5"/>
        <w:tblW w:w="10283" w:type="dxa"/>
        <w:jc w:val="center"/>
        <w:tblLayout w:type="fixed"/>
        <w:tblCellMar>
          <w:top w:w="0" w:type="dxa"/>
          <w:left w:w="108" w:type="dxa"/>
          <w:bottom w:w="0" w:type="dxa"/>
          <w:right w:w="108" w:type="dxa"/>
        </w:tblCellMar>
      </w:tblPr>
      <w:tblGrid>
        <w:gridCol w:w="1080"/>
        <w:gridCol w:w="1080"/>
        <w:gridCol w:w="1034"/>
        <w:gridCol w:w="1359"/>
        <w:gridCol w:w="1065"/>
        <w:gridCol w:w="2145"/>
        <w:gridCol w:w="615"/>
        <w:gridCol w:w="750"/>
        <w:gridCol w:w="1155"/>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9203"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岳阳市水利局</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35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06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214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61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75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15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35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3718.56</w:t>
            </w:r>
          </w:p>
        </w:tc>
        <w:tc>
          <w:tcPr>
            <w:tcW w:w="106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9068.55</w:t>
            </w:r>
          </w:p>
        </w:tc>
        <w:tc>
          <w:tcPr>
            <w:tcW w:w="214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9068.55</w:t>
            </w:r>
          </w:p>
        </w:tc>
        <w:tc>
          <w:tcPr>
            <w:tcW w:w="61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75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w:t>
            </w:r>
          </w:p>
        </w:tc>
        <w:tc>
          <w:tcPr>
            <w:tcW w:w="115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8461.72</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5383.31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2</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3685.24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604.83</w:t>
            </w:r>
          </w:p>
        </w:tc>
        <w:tc>
          <w:tcPr>
            <w:tcW w:w="466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3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66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538"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目标1：</w:t>
            </w:r>
            <w:r>
              <w:rPr>
                <w:rFonts w:hint="eastAsia" w:ascii="仿宋_GB2312" w:hAnsi="仿宋_GB2312" w:eastAsia="仿宋_GB2312" w:cs="仿宋_GB2312"/>
                <w:color w:val="000000"/>
                <w:sz w:val="20"/>
                <w:szCs w:val="20"/>
              </w:rPr>
              <w:t>在培根铸魂抓党建上交出了旗帜鲜明、对党忠诚的“政治答卷”　</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目标2：</w:t>
            </w:r>
            <w:r>
              <w:rPr>
                <w:rFonts w:hint="eastAsia" w:ascii="仿宋_GB2312" w:hAnsi="仿宋_GB2312" w:eastAsia="仿宋_GB2312" w:cs="仿宋_GB2312"/>
                <w:color w:val="000000"/>
                <w:sz w:val="20"/>
                <w:szCs w:val="20"/>
              </w:rPr>
              <w:t>在担当作为抗大旱上交出了有长旱情、无大旱灾的</w:t>
            </w:r>
            <w:r>
              <w:rPr>
                <w:rFonts w:hint="eastAsia" w:ascii="仿宋_GB2312" w:hAnsi="仿宋_GB2312" w:eastAsia="仿宋_GB2312" w:cs="仿宋_GB2312"/>
                <w:color w:val="000000"/>
                <w:sz w:val="20"/>
                <w:szCs w:val="20"/>
                <w:lang w:val="zh-CN"/>
              </w:rPr>
              <w:t>“历史</w:t>
            </w:r>
            <w:r>
              <w:rPr>
                <w:rFonts w:hint="eastAsia" w:ascii="仿宋_GB2312" w:hAnsi="仿宋_GB2312" w:eastAsia="仿宋_GB2312" w:cs="仿宋_GB2312"/>
                <w:color w:val="000000"/>
                <w:sz w:val="20"/>
                <w:szCs w:val="20"/>
              </w:rPr>
              <w:t>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目标3：</w:t>
            </w:r>
            <w:r>
              <w:rPr>
                <w:rFonts w:hint="eastAsia" w:ascii="仿宋_GB2312" w:hAnsi="仿宋_GB2312" w:eastAsia="仿宋_GB2312" w:cs="仿宋_GB2312"/>
                <w:color w:val="000000"/>
                <w:sz w:val="20"/>
                <w:szCs w:val="20"/>
              </w:rPr>
              <w:t>在服务经济稳大盘上交出了增效赋能、提质加速的“发展答卷”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目标4：</w:t>
            </w:r>
            <w:r>
              <w:rPr>
                <w:rFonts w:hint="eastAsia" w:ascii="仿宋_GB2312" w:hAnsi="仿宋_GB2312" w:eastAsia="仿宋_GB2312" w:cs="仿宋_GB2312"/>
                <w:color w:val="000000"/>
                <w:sz w:val="20"/>
                <w:szCs w:val="20"/>
              </w:rPr>
              <w:t>在管水护水增亮色上交出了生态优先、绿色发展的“生态答卷”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目标5：</w:t>
            </w:r>
            <w:r>
              <w:rPr>
                <w:rFonts w:hint="eastAsia" w:ascii="仿宋_GB2312" w:hAnsi="仿宋_GB2312" w:eastAsia="仿宋_GB2312" w:cs="仿宋_GB2312"/>
                <w:color w:val="000000"/>
                <w:sz w:val="20"/>
                <w:szCs w:val="20"/>
              </w:rPr>
              <w:t>在兴水惠民办实事上交出了群众满意、保障有力的</w:t>
            </w:r>
            <w:r>
              <w:rPr>
                <w:rFonts w:hint="eastAsia" w:ascii="仿宋_GB2312" w:hAnsi="仿宋_GB2312" w:eastAsia="仿宋_GB2312" w:cs="仿宋_GB2312"/>
                <w:color w:val="000000"/>
                <w:sz w:val="20"/>
                <w:szCs w:val="20"/>
                <w:lang w:val="zh-CN"/>
              </w:rPr>
              <w:t>“民生</w:t>
            </w:r>
            <w:r>
              <w:rPr>
                <w:rFonts w:hint="eastAsia" w:ascii="仿宋_GB2312" w:hAnsi="仿宋_GB2312" w:eastAsia="仿宋_GB2312" w:cs="仿宋_GB2312"/>
                <w:color w:val="000000"/>
                <w:sz w:val="20"/>
                <w:szCs w:val="20"/>
              </w:rPr>
              <w:t>答卷”</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目标6：</w:t>
            </w:r>
            <w:r>
              <w:rPr>
                <w:rFonts w:hint="eastAsia" w:ascii="仿宋_GB2312" w:hAnsi="仿宋_GB2312" w:eastAsia="仿宋_GB2312" w:cs="仿宋_GB2312"/>
                <w:color w:val="000000"/>
                <w:sz w:val="20"/>
                <w:szCs w:val="20"/>
              </w:rPr>
              <w:t>在依法依规强监管上交出了依法治水、依法履责的</w:t>
            </w:r>
            <w:r>
              <w:rPr>
                <w:rFonts w:hint="eastAsia" w:ascii="仿宋_GB2312" w:hAnsi="仿宋_GB2312" w:eastAsia="仿宋_GB2312" w:cs="仿宋_GB2312"/>
                <w:color w:val="000000"/>
                <w:sz w:val="20"/>
                <w:szCs w:val="20"/>
                <w:lang w:val="zh-CN"/>
              </w:rPr>
              <w:t>“法</w:t>
            </w:r>
            <w:r>
              <w:rPr>
                <w:rFonts w:hint="eastAsia" w:ascii="仿宋_GB2312" w:hAnsi="仿宋_GB2312" w:eastAsia="仿宋_GB2312" w:cs="仿宋_GB2312"/>
                <w:color w:val="000000"/>
                <w:sz w:val="20"/>
                <w:szCs w:val="20"/>
              </w:rPr>
              <w:t>治答卷”</w:t>
            </w:r>
          </w:p>
          <w:p>
            <w:pPr>
              <w:widowControl/>
              <w:spacing w:line="240" w:lineRule="exact"/>
              <w:jc w:val="left"/>
              <w:rPr>
                <w:rFonts w:hint="default" w:ascii="仿宋_GB2312" w:hAnsi="仿宋_GB2312" w:eastAsia="仿宋_GB2312" w:cs="仿宋_GB2312"/>
                <w:color w:val="000000"/>
                <w:sz w:val="20"/>
                <w:szCs w:val="20"/>
                <w:lang w:val="en-US" w:eastAsia="zh-CN"/>
              </w:rPr>
            </w:pPr>
          </w:p>
        </w:tc>
        <w:tc>
          <w:tcPr>
            <w:tcW w:w="466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完成任务1：</w:t>
            </w:r>
            <w:r>
              <w:rPr>
                <w:rFonts w:hint="eastAsia" w:ascii="仿宋_GB2312" w:hAnsi="仿宋_GB2312" w:eastAsia="仿宋_GB2312" w:cs="仿宋_GB2312"/>
                <w:color w:val="000000"/>
                <w:sz w:val="20"/>
                <w:szCs w:val="20"/>
              </w:rPr>
              <w:t>积极应对汛期14轮强降雨，织密织牢“人防物防技防”保障网，认真抓好汛情研判、监测预警、工程调度、督查督导等工作，确保了度汛安全。</w:t>
            </w:r>
          </w:p>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完成任务2：</w:t>
            </w:r>
            <w:r>
              <w:rPr>
                <w:rFonts w:hint="eastAsia" w:ascii="仿宋_GB2312" w:hAnsi="仿宋_GB2312" w:eastAsia="仿宋_GB2312" w:cs="仿宋_GB2312"/>
                <w:color w:val="000000"/>
                <w:sz w:val="20"/>
                <w:szCs w:val="20"/>
              </w:rPr>
              <w:t>全市共争取水利项目资金26.51亿元，</w:t>
            </w:r>
            <w:r>
              <w:rPr>
                <w:rFonts w:hint="eastAsia" w:ascii="仿宋_GB2312" w:hAnsi="仿宋_GB2312" w:eastAsia="仿宋_GB2312" w:cs="仿宋_GB2312"/>
                <w:color w:val="000000"/>
                <w:sz w:val="20"/>
                <w:szCs w:val="20"/>
                <w:lang w:val="en-US" w:eastAsia="zh-CN"/>
              </w:rPr>
              <w:t>积极完成水利建设的推进工作和</w:t>
            </w:r>
            <w:r>
              <w:rPr>
                <w:rFonts w:hint="eastAsia" w:ascii="仿宋_GB2312" w:hAnsi="仿宋_GB2312" w:eastAsia="仿宋_GB2312" w:cs="仿宋_GB2312"/>
                <w:color w:val="000000"/>
                <w:sz w:val="20"/>
                <w:szCs w:val="20"/>
              </w:rPr>
              <w:t>全力做好我市新一轮省管河道采砂规划</w:t>
            </w:r>
            <w:r>
              <w:rPr>
                <w:rFonts w:hint="eastAsia" w:ascii="仿宋_GB2312" w:hAnsi="仿宋_GB2312" w:eastAsia="仿宋_GB2312" w:cs="仿宋_GB2312"/>
                <w:color w:val="000000"/>
                <w:sz w:val="20"/>
                <w:szCs w:val="20"/>
                <w:lang w:eastAsia="zh-CN"/>
              </w:rPr>
              <w:t>。</w:t>
            </w:r>
          </w:p>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完成任务3：</w:t>
            </w:r>
            <w:r>
              <w:rPr>
                <w:rFonts w:hint="eastAsia" w:ascii="仿宋_GB2312" w:hAnsi="仿宋_GB2312" w:eastAsia="仿宋_GB2312" w:cs="仿宋_GB2312"/>
                <w:color w:val="000000"/>
                <w:sz w:val="20"/>
                <w:szCs w:val="20"/>
              </w:rPr>
              <w:t>召开了全市规模最大、规格最高的总河长会议，</w:t>
            </w:r>
            <w:r>
              <w:rPr>
                <w:rFonts w:hint="eastAsia" w:ascii="仿宋_GB2312" w:hAnsi="仿宋_GB2312" w:eastAsia="仿宋_GB2312" w:cs="仿宋_GB2312"/>
                <w:color w:val="000000"/>
                <w:sz w:val="20"/>
                <w:szCs w:val="20"/>
                <w:lang w:val="en-US" w:eastAsia="zh-CN"/>
              </w:rPr>
              <w:t>加强水资源管理以及</w:t>
            </w:r>
            <w:r>
              <w:rPr>
                <w:rFonts w:hint="eastAsia" w:ascii="仿宋_GB2312" w:hAnsi="仿宋_GB2312" w:eastAsia="仿宋_GB2312" w:cs="仿宋_GB2312"/>
                <w:color w:val="000000"/>
                <w:sz w:val="20"/>
                <w:szCs w:val="20"/>
              </w:rPr>
              <w:t>水土保持监管到位</w:t>
            </w:r>
            <w:r>
              <w:rPr>
                <w:rFonts w:hint="eastAsia" w:ascii="仿宋_GB2312" w:hAnsi="仿宋_GB2312" w:eastAsia="仿宋_GB2312" w:cs="仿宋_GB2312"/>
                <w:color w:val="000000"/>
                <w:sz w:val="20"/>
                <w:szCs w:val="20"/>
                <w:lang w:eastAsia="zh-CN"/>
              </w:rPr>
              <w:t>。</w:t>
            </w:r>
          </w:p>
          <w:p>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完成任务4：民生实事全面完成</w:t>
            </w:r>
            <w:r>
              <w:rPr>
                <w:rFonts w:hint="eastAsia" w:ascii="仿宋_GB2312" w:hAnsi="仿宋_GB2312" w:eastAsia="仿宋_GB2312" w:cs="仿宋_GB2312"/>
                <w:color w:val="000000"/>
                <w:sz w:val="20"/>
                <w:szCs w:val="20"/>
              </w:rPr>
              <w:t>“农村水源保障及灌溉能力提升，新增蓄水能力452万方，恢复改善灌溉面积10万亩”列入省政府十大民生工程，完成新增蓄水能力494.2万方，进度109.3%。</w:t>
            </w:r>
          </w:p>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完成任务5：</w:t>
            </w:r>
            <w:r>
              <w:rPr>
                <w:rFonts w:hint="eastAsia" w:ascii="仿宋_GB2312" w:hAnsi="仿宋_GB2312" w:eastAsia="仿宋_GB2312" w:cs="仿宋_GB2312"/>
                <w:color w:val="000000"/>
                <w:sz w:val="20"/>
                <w:szCs w:val="20"/>
                <w:lang w:val="zh-CN"/>
              </w:rPr>
              <w:t>做好</w:t>
            </w:r>
            <w:r>
              <w:rPr>
                <w:rFonts w:hint="eastAsia" w:ascii="仿宋_GB2312" w:hAnsi="仿宋_GB2312" w:eastAsia="仿宋_GB2312" w:cs="仿宋_GB2312"/>
                <w:color w:val="000000"/>
                <w:sz w:val="20"/>
                <w:szCs w:val="20"/>
              </w:rPr>
              <w:t>“世界水日”“中国水周”</w:t>
            </w:r>
            <w:r>
              <w:rPr>
                <w:rFonts w:hint="eastAsia" w:ascii="仿宋_GB2312" w:hAnsi="仿宋_GB2312" w:eastAsia="仿宋_GB2312" w:cs="仿宋_GB2312"/>
                <w:color w:val="000000"/>
                <w:sz w:val="20"/>
                <w:szCs w:val="20"/>
                <w:lang w:val="zh-CN"/>
              </w:rPr>
              <w:t>等普法宣传，全力配合市人大做好</w:t>
            </w:r>
            <w:r>
              <w:rPr>
                <w:rFonts w:hint="eastAsia" w:ascii="仿宋_GB2312" w:hAnsi="仿宋_GB2312" w:eastAsia="仿宋_GB2312" w:cs="仿宋_GB2312"/>
                <w:color w:val="000000"/>
                <w:sz w:val="20"/>
                <w:szCs w:val="20"/>
              </w:rPr>
              <w:t>《岳阳市铁山水库饮用水水源保护条例》立法工作。</w:t>
            </w:r>
            <w:r>
              <w:rPr>
                <w:rFonts w:hint="eastAsia" w:ascii="仿宋_GB2312" w:hAnsi="仿宋_GB2312" w:eastAsia="仿宋_GB2312" w:cs="仿宋_GB2312"/>
                <w:color w:val="000000"/>
                <w:sz w:val="20"/>
                <w:szCs w:val="20"/>
                <w:lang w:val="zh-CN"/>
              </w:rPr>
              <w:t>持续高压打击河道非法采砂等水事违法行为，在长江、洞庭湖、汨罗江、新墙河、铁山水库等重点水域共开展巡查160余次，下达责停责改通知书45份，查办案件26起，我市长江洞庭湖水事秩序稳定可控。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75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w:t>
            </w:r>
            <w:r>
              <w:rPr>
                <w:rFonts w:hint="eastAsia" w:ascii="仿宋_GB2312" w:hAnsi="仿宋_GB2312" w:eastAsia="仿宋_GB2312" w:cs="仿宋_GB2312"/>
                <w:color w:val="000000"/>
                <w:sz w:val="20"/>
                <w:szCs w:val="20"/>
              </w:rPr>
              <w:t>移民库区和谐稳定</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完成98%</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r>
              <w:rPr>
                <w:rFonts w:hint="eastAsia" w:ascii="仿宋_GB2312" w:hAnsi="仿宋_GB2312" w:eastAsia="仿宋_GB2312" w:cs="仿宋_GB2312"/>
                <w:color w:val="000000"/>
                <w:sz w:val="20"/>
                <w:szCs w:val="20"/>
              </w:rPr>
              <w:t>推动水库移民工程项目1598个，已完工项目1386个，完成投资3.68亿元，培训移民971人次</w:t>
            </w:r>
            <w:r>
              <w:rPr>
                <w:rFonts w:hint="eastAsia" w:ascii="仿宋_GB2312" w:hAnsi="仿宋_GB2312" w:eastAsia="仿宋_GB2312" w:cs="仿宋_GB2312"/>
                <w:color w:val="000000"/>
                <w:sz w:val="20"/>
                <w:szCs w:val="20"/>
                <w:lang w:eastAsia="zh-CN"/>
              </w:rPr>
              <w:t>。</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指标2：小水库除险加固工程</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新增城市防洪闭合圈4个，完成水库除险加固105座，治理主要支流、中小河流124公里。</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指标3：完成沟渠塘坝清淤工作</w:t>
            </w:r>
          </w:p>
        </w:tc>
        <w:tc>
          <w:tcPr>
            <w:tcW w:w="1065"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疏通河道106公里、渠道2089公里，应急打井1861口。</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指标4：水行政执法从严从紧</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重点水域共开展巡查160余次，查办案件26起。</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指标1：防汛抗旱工作</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完成防汛抗旱工作</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抓好汛情研判、监测预警、工程调度、督查督导等工作，确保了度汛安全。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指标2：水利工程建设</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开展安全生产专项检查30多次，排除了隐患。</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指标3：农村饮水安全工作</w:t>
            </w:r>
          </w:p>
        </w:tc>
        <w:tc>
          <w:tcPr>
            <w:tcW w:w="1065"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持续保持饮水安全问题动态清零，确保群众喝上干净水、放心水。</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指标4：切实抓好“河湖长制”工作</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河湖保护实现四个全覆盖。</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指标1：水利建设资金、河道采砂等专项资金按时间进度拨付到位</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按时完成</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建立了</w:t>
            </w:r>
            <w:r>
              <w:rPr>
                <w:rFonts w:hint="eastAsia" w:ascii="仿宋_GB2312" w:hAnsi="仿宋_GB2312" w:eastAsia="仿宋_GB2312" w:cs="仿宋_GB2312"/>
                <w:color w:val="000000"/>
                <w:sz w:val="20"/>
                <w:szCs w:val="20"/>
                <w:lang w:val="en-US" w:eastAsia="zh-CN"/>
              </w:rPr>
              <w:t>“开工一批、建设一批、竣工一批”的滚动接续机制。</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指标1：经费支出控制在预算之内</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指标2：“三公”经费支出控制不超过预算。</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指标:1：河道采砂规范有序</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完成河道砂石资源税收3.05亿元。</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需进一步提高经济指标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指标1：全面完成民生实事</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　14件市级重点民生实事，已全部按时完成任务。</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53"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指标2：确保城市供水及应急水源安全</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确保了城市供水及应急水源的安全。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需进一步提高水资源使用效率</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指标1：改善水生态环境</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确保了城市供水及应急水源的安全。</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指标2：持续开展“河湖健康问诊”暗访督查</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完成100%</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对环南湖流域存在的侵占河道、违法建筑等5个方面98个问题进行整治</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w:t>
            </w:r>
            <w:r>
              <w:rPr>
                <w:rFonts w:hint="eastAsia" w:ascii="仿宋_GB2312" w:hAnsi="仿宋_GB2312" w:eastAsia="仿宋_GB2312" w:cs="仿宋_GB2312"/>
                <w:color w:val="000000"/>
                <w:sz w:val="20"/>
                <w:szCs w:val="20"/>
              </w:rPr>
              <w:t>乡村振兴助推有力</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完成100%</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全力推进乡风文明建设</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35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指标1：确保被服务对象满意</w:t>
            </w:r>
          </w:p>
        </w:tc>
        <w:tc>
          <w:tcPr>
            <w:tcW w:w="1065"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214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满意度98%</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763"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61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96</w:t>
            </w:r>
          </w:p>
        </w:tc>
        <w:tc>
          <w:tcPr>
            <w:tcW w:w="1155"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pStyle w:val="2"/>
        <w:ind w:left="0" w:leftChars="0" w:firstLine="0" w:firstLineChars="0"/>
      </w:pPr>
      <w:r>
        <w:rPr>
          <w:rFonts w:hint="default" w:ascii="Times New Roman" w:hAnsi="Times New Roman" w:eastAsia="仿宋_GB2312" w:cs="Times New Roman"/>
          <w:sz w:val="22"/>
          <w:szCs w:val="22"/>
        </w:rPr>
        <w:t>填表人</w:t>
      </w:r>
      <w:r>
        <w:rPr>
          <w:rFonts w:hint="eastAsia" w:ascii="Times New Roman" w:hAnsi="Times New Roman" w:cs="Times New Roman"/>
          <w:sz w:val="22"/>
          <w:szCs w:val="22"/>
          <w:lang w:eastAsia="zh-CN"/>
        </w:rPr>
        <w:t>：周望君</w:t>
      </w:r>
      <w:r>
        <w:rPr>
          <w:rFonts w:hint="default" w:ascii="Times New Roman" w:hAnsi="Times New Roman" w:eastAsia="仿宋_GB2312" w:cs="Times New Roman"/>
          <w:sz w:val="22"/>
          <w:szCs w:val="22"/>
        </w:rPr>
        <w:t xml:space="preserve"> 填报日期：</w:t>
      </w:r>
      <w:r>
        <w:rPr>
          <w:rFonts w:hint="eastAsia" w:ascii="Times New Roman" w:hAnsi="Times New Roman" w:cs="Times New Roman"/>
          <w:sz w:val="22"/>
          <w:szCs w:val="22"/>
          <w:lang w:val="en-US" w:eastAsia="zh-CN"/>
        </w:rPr>
        <w:t xml:space="preserve">2023.7.14  </w:t>
      </w:r>
      <w:r>
        <w:rPr>
          <w:rFonts w:hint="default" w:ascii="Times New Roman" w:hAnsi="Times New Roman" w:eastAsia="仿宋_GB2312" w:cs="Times New Roman"/>
          <w:sz w:val="22"/>
          <w:szCs w:val="22"/>
        </w:rPr>
        <w:t xml:space="preserve"> 联系电话：</w:t>
      </w:r>
      <w:r>
        <w:rPr>
          <w:rFonts w:hint="eastAsia" w:ascii="Times New Roman" w:hAnsi="Times New Roman" w:cs="Times New Roman"/>
          <w:sz w:val="22"/>
          <w:szCs w:val="22"/>
          <w:lang w:val="en-US" w:eastAsia="zh-CN"/>
        </w:rPr>
        <w:t xml:space="preserve">8092208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20F6AC"/>
    <w:multiLevelType w:val="singleLevel"/>
    <w:tmpl w:val="FE20F6AC"/>
    <w:lvl w:ilvl="0" w:tentative="0">
      <w:start w:val="2"/>
      <w:numFmt w:val="chineseCounting"/>
      <w:suff w:val="nothing"/>
      <w:lvlText w:val="（%1）"/>
      <w:lvlJc w:val="left"/>
      <w:rPr>
        <w:rFonts w:hint="eastAsia"/>
      </w:rPr>
    </w:lvl>
  </w:abstractNum>
  <w:abstractNum w:abstractNumId="1">
    <w:nsid w:val="19C75C3D"/>
    <w:multiLevelType w:val="singleLevel"/>
    <w:tmpl w:val="19C75C3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869EB"/>
    <w:rsid w:val="224372B2"/>
    <w:rsid w:val="3DB869EB"/>
    <w:rsid w:val="654E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600" w:lineRule="exact"/>
      <w:ind w:firstLine="200" w:firstLineChars="200"/>
    </w:pPr>
    <w:rPr>
      <w:rFonts w:eastAsia="仿宋_GB2312"/>
      <w:sz w:val="24"/>
      <w:szCs w:val="32"/>
    </w:rPr>
  </w:style>
  <w:style w:type="paragraph" w:styleId="3">
    <w:name w:val="Body Text"/>
    <w:basedOn w:val="1"/>
    <w:next w:val="4"/>
    <w:qFormat/>
    <w:uiPriority w:val="0"/>
    <w:rPr>
      <w:rFonts w:eastAsia="文星仿宋"/>
      <w:sz w:val="32"/>
      <w:szCs w:val="24"/>
    </w:rPr>
  </w:style>
  <w:style w:type="paragraph" w:customStyle="1" w:styleId="4">
    <w:name w:val="正文首行缩进1"/>
    <w:basedOn w:val="1"/>
    <w:qFormat/>
    <w:uiPriority w:val="0"/>
    <w:pPr>
      <w:spacing w:after="120"/>
      <w:ind w:firstLine="420" w:firstLineChars="100"/>
    </w:pPr>
  </w:style>
  <w:style w:type="paragraph" w:styleId="7">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2023-07-26T03:17:00Z</dcterms:created>
  <dc:creator>Administrator</dc:creator>
  <cp:lastModifiedBy>蒋子吟</cp:lastModifiedBy>
  <dcterms:modified xsi:type="dcterms:W3CDTF">2023-09-26T11:17:58Z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68A5002B891F44DAAD6E9FA5532D287F</vt:lpwstr>
  </property>
</Properties>
</file>