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0"/>
        <w:ind w:left="0" w:right="0" w:firstLine="0"/>
        <w:jc w:val="center"/>
      </w:pPr>
      <w:r>
        <w:rPr>
          <w:rFonts w:hint="eastAsia"/>
          <w:color w:val="000000"/>
          <w:spacing w:val="0"/>
          <w:w w:val="100"/>
          <w:position w:val="0"/>
          <w:lang w:val="en-US" w:eastAsia="zh-CN"/>
        </w:rPr>
        <w:t>岳阳</w:t>
      </w:r>
      <w:r>
        <w:rPr>
          <w:color w:val="000000"/>
          <w:spacing w:val="0"/>
          <w:w w:val="100"/>
          <w:position w:val="0"/>
        </w:rPr>
        <w:t>市工程建设项目审批制度改革工作领导小组办公室关于印发进一步优化社会投资简易低风险工程建设项目审批服务实施意见（试行）的通知</w:t>
      </w:r>
    </w:p>
    <w:p>
      <w:pPr>
        <w:pStyle w:val="5"/>
        <w:keepNext w:val="0"/>
        <w:keepLines w:val="0"/>
        <w:widowControl w:val="0"/>
        <w:shd w:val="clear" w:color="auto" w:fill="auto"/>
        <w:bidi w:val="0"/>
        <w:spacing w:before="0" w:after="0" w:line="612" w:lineRule="exact"/>
        <w:ind w:left="0" w:right="0" w:firstLine="0"/>
        <w:jc w:val="left"/>
        <w:rPr>
          <w:rFonts w:hint="eastAsia"/>
          <w:color w:val="000000"/>
          <w:spacing w:val="0"/>
          <w:w w:val="100"/>
          <w:position w:val="0"/>
        </w:rPr>
      </w:pPr>
    </w:p>
    <w:p>
      <w:pPr>
        <w:pStyle w:val="5"/>
        <w:keepNext w:val="0"/>
        <w:keepLines w:val="0"/>
        <w:widowControl w:val="0"/>
        <w:shd w:val="clear" w:color="auto" w:fill="auto"/>
        <w:bidi w:val="0"/>
        <w:spacing w:before="0" w:after="0" w:line="625" w:lineRule="exact"/>
        <w:ind w:left="0" w:leftChars="0" w:right="0" w:firstLine="0" w:firstLineChars="0"/>
        <w:jc w:val="both"/>
        <w:rPr>
          <w:rFonts w:hint="eastAsia" w:ascii="仿宋" w:hAnsi="仿宋" w:eastAsia="仿宋" w:cs="仿宋"/>
          <w:b w:val="0"/>
          <w:bCs w:val="0"/>
          <w:i w:val="0"/>
          <w:iCs w:val="0"/>
          <w:smallCaps w:val="0"/>
          <w:strike w:val="0"/>
          <w:color w:val="000000"/>
          <w:spacing w:val="0"/>
          <w:w w:val="100"/>
          <w:position w:val="0"/>
          <w:sz w:val="32"/>
          <w:szCs w:val="32"/>
        </w:rPr>
      </w:pPr>
      <w:r>
        <w:rPr>
          <w:rFonts w:hint="eastAsia" w:ascii="仿宋" w:hAnsi="仿宋" w:eastAsia="仿宋" w:cs="仿宋"/>
          <w:b w:val="0"/>
          <w:bCs w:val="0"/>
          <w:i w:val="0"/>
          <w:iCs w:val="0"/>
          <w:smallCaps w:val="0"/>
          <w:strike w:val="0"/>
          <w:color w:val="000000"/>
          <w:spacing w:val="0"/>
          <w:w w:val="100"/>
          <w:position w:val="0"/>
          <w:sz w:val="32"/>
          <w:szCs w:val="32"/>
        </w:rPr>
        <w:t>各县市区人民政府，岳阳经济技术开发区、城陵矶新港区、南湖新区、屈原管理区，市直各单位，中央、省属驻岳各单位</w:t>
      </w:r>
      <w:r>
        <w:rPr>
          <w:rFonts w:hint="eastAsia" w:ascii="仿宋" w:hAnsi="仿宋" w:eastAsia="仿宋" w:cs="仿宋"/>
          <w:b w:val="0"/>
          <w:bCs w:val="0"/>
          <w:i w:val="0"/>
          <w:iCs w:val="0"/>
          <w:smallCaps w:val="0"/>
          <w:strike w:val="0"/>
          <w:color w:val="000000"/>
          <w:spacing w:val="0"/>
          <w:w w:val="100"/>
          <w:position w:val="0"/>
          <w:sz w:val="32"/>
          <w:szCs w:val="32"/>
          <w:lang w:eastAsia="zh-CN"/>
        </w:rPr>
        <w:t>，</w:t>
      </w:r>
      <w:r>
        <w:rPr>
          <w:rFonts w:hint="eastAsia" w:ascii="仿宋" w:hAnsi="仿宋" w:eastAsia="仿宋" w:cs="仿宋"/>
          <w:b w:val="0"/>
          <w:bCs w:val="0"/>
          <w:i w:val="0"/>
          <w:iCs w:val="0"/>
          <w:smallCaps w:val="0"/>
          <w:strike w:val="0"/>
          <w:color w:val="000000"/>
          <w:spacing w:val="0"/>
          <w:w w:val="100"/>
          <w:position w:val="0"/>
          <w:sz w:val="32"/>
          <w:szCs w:val="32"/>
        </w:rPr>
        <w:t>各市政公用服务企业，各有关企业：</w:t>
      </w:r>
    </w:p>
    <w:p>
      <w:pPr>
        <w:pStyle w:val="5"/>
        <w:keepNext w:val="0"/>
        <w:keepLines w:val="0"/>
        <w:widowControl w:val="0"/>
        <w:shd w:val="clear" w:color="auto" w:fill="auto"/>
        <w:bidi w:val="0"/>
        <w:spacing w:before="0" w:after="0" w:line="625" w:lineRule="exact"/>
        <w:ind w:left="0" w:right="0" w:firstLine="660"/>
        <w:jc w:val="both"/>
        <w:rPr>
          <w:rFonts w:hint="eastAsia" w:ascii="仿宋" w:hAnsi="仿宋" w:eastAsia="仿宋" w:cs="仿宋"/>
          <w:b w:val="0"/>
          <w:bCs w:val="0"/>
          <w:i w:val="0"/>
          <w:iCs w:val="0"/>
          <w:smallCaps w:val="0"/>
          <w:strike w:val="0"/>
          <w:color w:val="000000"/>
          <w:spacing w:val="0"/>
          <w:w w:val="100"/>
          <w:position w:val="0"/>
          <w:sz w:val="32"/>
          <w:szCs w:val="32"/>
        </w:rPr>
      </w:pPr>
      <w:r>
        <w:rPr>
          <w:rFonts w:hint="eastAsia" w:ascii="仿宋" w:hAnsi="仿宋" w:eastAsia="仿宋" w:cs="仿宋"/>
          <w:b w:val="0"/>
          <w:bCs w:val="0"/>
          <w:i w:val="0"/>
          <w:iCs w:val="0"/>
          <w:smallCaps w:val="0"/>
          <w:strike w:val="0"/>
          <w:color w:val="000000"/>
          <w:spacing w:val="0"/>
          <w:w w:val="100"/>
          <w:position w:val="0"/>
          <w:sz w:val="32"/>
          <w:szCs w:val="32"/>
        </w:rPr>
        <w:t>为持续优化和改善我市营商环境，进一步提高我市社会投资简易低风险工程建设项目审批效率和服务质量，现将《进一步优化社会投资简易低风险工程建设项目审批服务实施意见（试行）》印发给你们，请遵照执行。</w:t>
      </w:r>
    </w:p>
    <w:p>
      <w:pPr>
        <w:pStyle w:val="5"/>
        <w:keepNext w:val="0"/>
        <w:keepLines w:val="0"/>
        <w:widowControl w:val="0"/>
        <w:shd w:val="clear" w:color="auto" w:fill="auto"/>
        <w:bidi w:val="0"/>
        <w:spacing w:before="0" w:after="0" w:line="625" w:lineRule="exact"/>
        <w:ind w:left="0" w:right="0" w:firstLine="660"/>
        <w:jc w:val="both"/>
        <w:rPr>
          <w:rFonts w:hint="eastAsia" w:ascii="仿宋" w:hAnsi="仿宋" w:eastAsia="仿宋" w:cs="仿宋"/>
          <w:b w:val="0"/>
          <w:bCs w:val="0"/>
          <w:i w:val="0"/>
          <w:iCs w:val="0"/>
          <w:smallCaps w:val="0"/>
          <w:strike w:val="0"/>
          <w:color w:val="000000"/>
          <w:spacing w:val="0"/>
          <w:w w:val="100"/>
          <w:position w:val="0"/>
          <w:sz w:val="32"/>
          <w:szCs w:val="32"/>
        </w:rPr>
      </w:pPr>
      <w:r>
        <w:rPr>
          <w:rFonts w:hint="eastAsia" w:ascii="仿宋" w:hAnsi="仿宋" w:eastAsia="仿宋" w:cs="仿宋"/>
          <w:b w:val="0"/>
          <w:bCs w:val="0"/>
          <w:i w:val="0"/>
          <w:iCs w:val="0"/>
          <w:smallCaps w:val="0"/>
          <w:strike w:val="0"/>
          <w:color w:val="000000"/>
          <w:spacing w:val="0"/>
          <w:w w:val="100"/>
          <w:position w:val="0"/>
          <w:sz w:val="32"/>
          <w:szCs w:val="32"/>
        </w:rPr>
        <w:t>执行过程中遇到的问题，请径向</w:t>
      </w:r>
      <w:r>
        <w:rPr>
          <w:rFonts w:hint="eastAsia" w:ascii="仿宋" w:hAnsi="仿宋" w:eastAsia="仿宋" w:cs="仿宋"/>
          <w:b w:val="0"/>
          <w:bCs w:val="0"/>
          <w:i w:val="0"/>
          <w:iCs w:val="0"/>
          <w:smallCaps w:val="0"/>
          <w:strike w:val="0"/>
          <w:color w:val="000000"/>
          <w:spacing w:val="0"/>
          <w:w w:val="100"/>
          <w:position w:val="0"/>
          <w:sz w:val="32"/>
          <w:szCs w:val="32"/>
          <w:lang w:val="en-US" w:eastAsia="zh-CN"/>
        </w:rPr>
        <w:t>岳阳</w:t>
      </w:r>
      <w:r>
        <w:rPr>
          <w:rFonts w:hint="eastAsia" w:ascii="仿宋" w:hAnsi="仿宋" w:eastAsia="仿宋" w:cs="仿宋"/>
          <w:b w:val="0"/>
          <w:bCs w:val="0"/>
          <w:i w:val="0"/>
          <w:iCs w:val="0"/>
          <w:smallCaps w:val="0"/>
          <w:strike w:val="0"/>
          <w:color w:val="000000"/>
          <w:spacing w:val="0"/>
          <w:w w:val="100"/>
          <w:position w:val="0"/>
          <w:sz w:val="32"/>
          <w:szCs w:val="32"/>
        </w:rPr>
        <w:t>市工程建设项目审批制度改革工作领导小组办公室（设在市住房城乡建设局）反映。</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601" w:right="0" w:hanging="601"/>
        <w:jc w:val="right"/>
        <w:textAlignment w:val="auto"/>
        <w:rPr>
          <w:rFonts w:hint="eastAsia"/>
          <w:color w:val="000000"/>
          <w:spacing w:val="0"/>
          <w:w w:val="100"/>
          <w:position w:val="0"/>
          <w:lang w:val="en-US" w:eastAsia="zh-CN"/>
        </w:rPr>
      </w:pPr>
    </w:p>
    <w:p>
      <w:pPr>
        <w:pStyle w:val="5"/>
        <w:keepNext w:val="0"/>
        <w:keepLines w:val="0"/>
        <w:widowControl w:val="0"/>
        <w:shd w:val="clear" w:color="auto" w:fill="auto"/>
        <w:bidi w:val="0"/>
        <w:spacing w:before="0" w:after="0" w:line="625" w:lineRule="exact"/>
        <w:ind w:left="0" w:right="0" w:firstLine="660"/>
        <w:jc w:val="right"/>
        <w:rPr>
          <w:rFonts w:hint="eastAsia" w:ascii="仿宋" w:hAnsi="仿宋" w:eastAsia="仿宋" w:cs="仿宋"/>
          <w:b w:val="0"/>
          <w:bCs w:val="0"/>
          <w:i w:val="0"/>
          <w:iCs w:val="0"/>
          <w:smallCaps w:val="0"/>
          <w:strike w:val="0"/>
          <w:color w:val="000000"/>
          <w:spacing w:val="0"/>
          <w:w w:val="100"/>
          <w:position w:val="0"/>
          <w:sz w:val="32"/>
          <w:szCs w:val="32"/>
        </w:rPr>
      </w:pPr>
      <w:r>
        <w:rPr>
          <w:rFonts w:hint="eastAsia" w:ascii="仿宋" w:hAnsi="仿宋" w:eastAsia="仿宋" w:cs="仿宋"/>
          <w:b w:val="0"/>
          <w:bCs w:val="0"/>
          <w:i w:val="0"/>
          <w:iCs w:val="0"/>
          <w:smallCaps w:val="0"/>
          <w:strike w:val="0"/>
          <w:color w:val="000000"/>
          <w:spacing w:val="0"/>
          <w:w w:val="100"/>
          <w:position w:val="0"/>
          <w:sz w:val="32"/>
          <w:szCs w:val="32"/>
          <w:lang w:val="en-US" w:eastAsia="zh-CN"/>
        </w:rPr>
        <w:t>岳阳</w:t>
      </w:r>
      <w:r>
        <w:rPr>
          <w:rFonts w:hint="eastAsia" w:ascii="仿宋" w:hAnsi="仿宋" w:eastAsia="仿宋" w:cs="仿宋"/>
          <w:b w:val="0"/>
          <w:bCs w:val="0"/>
          <w:i w:val="0"/>
          <w:iCs w:val="0"/>
          <w:smallCaps w:val="0"/>
          <w:strike w:val="0"/>
          <w:color w:val="000000"/>
          <w:spacing w:val="0"/>
          <w:w w:val="100"/>
          <w:position w:val="0"/>
          <w:sz w:val="32"/>
          <w:szCs w:val="32"/>
        </w:rPr>
        <w:t>市工程</w:t>
      </w:r>
      <w:r>
        <w:rPr>
          <w:rFonts w:hint="eastAsia" w:ascii="仿宋" w:hAnsi="仿宋" w:eastAsia="仿宋" w:cs="仿宋"/>
          <w:b w:val="0"/>
          <w:bCs w:val="0"/>
          <w:i w:val="0"/>
          <w:iCs w:val="0"/>
          <w:smallCaps w:val="0"/>
          <w:strike w:val="0"/>
          <w:color w:val="000000"/>
          <w:spacing w:val="0"/>
          <w:w w:val="100"/>
          <w:position w:val="0"/>
          <w:sz w:val="32"/>
          <w:szCs w:val="32"/>
          <w:lang w:val="en-US" w:eastAsia="zh-CN"/>
        </w:rPr>
        <w:t>建设</w:t>
      </w:r>
      <w:r>
        <w:rPr>
          <w:rFonts w:hint="eastAsia" w:ascii="仿宋" w:hAnsi="仿宋" w:eastAsia="仿宋" w:cs="仿宋"/>
          <w:b w:val="0"/>
          <w:bCs w:val="0"/>
          <w:i w:val="0"/>
          <w:iCs w:val="0"/>
          <w:smallCaps w:val="0"/>
          <w:strike w:val="0"/>
          <w:color w:val="000000"/>
          <w:spacing w:val="0"/>
          <w:w w:val="100"/>
          <w:position w:val="0"/>
          <w:sz w:val="32"/>
          <w:szCs w:val="32"/>
        </w:rPr>
        <w:t>项目</w:t>
      </w:r>
      <w:r>
        <w:rPr>
          <w:rFonts w:hint="eastAsia" w:ascii="仿宋" w:hAnsi="仿宋" w:eastAsia="仿宋" w:cs="仿宋"/>
          <w:b w:val="0"/>
          <w:bCs w:val="0"/>
          <w:i w:val="0"/>
          <w:iCs w:val="0"/>
          <w:smallCaps w:val="0"/>
          <w:strike w:val="0"/>
          <w:color w:val="000000"/>
          <w:spacing w:val="0"/>
          <w:w w:val="100"/>
          <w:position w:val="0"/>
          <w:sz w:val="32"/>
          <w:szCs w:val="32"/>
          <w:lang w:val="en-US" w:eastAsia="zh-CN"/>
        </w:rPr>
        <w:t>审批</w:t>
      </w:r>
      <w:r>
        <w:rPr>
          <w:rFonts w:hint="eastAsia" w:ascii="仿宋" w:hAnsi="仿宋" w:eastAsia="仿宋" w:cs="仿宋"/>
          <w:b w:val="0"/>
          <w:bCs w:val="0"/>
          <w:i w:val="0"/>
          <w:iCs w:val="0"/>
          <w:smallCaps w:val="0"/>
          <w:strike w:val="0"/>
          <w:color w:val="000000"/>
          <w:spacing w:val="0"/>
          <w:w w:val="100"/>
          <w:position w:val="0"/>
          <w:sz w:val="32"/>
          <w:szCs w:val="32"/>
        </w:rPr>
        <w:t>制度改革</w:t>
      </w:r>
    </w:p>
    <w:p>
      <w:pPr>
        <w:pStyle w:val="5"/>
        <w:keepNext w:val="0"/>
        <w:keepLines w:val="0"/>
        <w:widowControl w:val="0"/>
        <w:shd w:val="clear" w:color="auto" w:fill="auto"/>
        <w:bidi w:val="0"/>
        <w:spacing w:before="0" w:after="0" w:line="625" w:lineRule="exact"/>
        <w:ind w:left="0" w:right="0" w:firstLine="660"/>
        <w:jc w:val="right"/>
        <w:rPr>
          <w:rFonts w:hint="default" w:ascii="仿宋" w:hAnsi="仿宋" w:eastAsia="仿宋" w:cs="仿宋"/>
          <w:b w:val="0"/>
          <w:bCs w:val="0"/>
          <w:i w:val="0"/>
          <w:iCs w:val="0"/>
          <w:smallCaps w:val="0"/>
          <w:strike w:val="0"/>
          <w:color w:val="000000"/>
          <w:spacing w:val="0"/>
          <w:w w:val="100"/>
          <w:position w:val="0"/>
          <w:sz w:val="32"/>
          <w:szCs w:val="32"/>
          <w:lang w:val="en-US" w:eastAsia="zh-CN"/>
        </w:rPr>
      </w:pPr>
      <w:r>
        <w:rPr>
          <w:rFonts w:hint="eastAsia" w:ascii="仿宋" w:hAnsi="仿宋" w:eastAsia="仿宋" w:cs="仿宋"/>
          <w:b w:val="0"/>
          <w:bCs w:val="0"/>
          <w:i w:val="0"/>
          <w:iCs w:val="0"/>
          <w:smallCaps w:val="0"/>
          <w:strike w:val="0"/>
          <w:color w:val="000000"/>
          <w:spacing w:val="0"/>
          <w:w w:val="100"/>
          <w:position w:val="0"/>
          <w:sz w:val="32"/>
          <w:szCs w:val="32"/>
          <w:lang w:val="en-US" w:eastAsia="zh-CN"/>
        </w:rPr>
        <w:t xml:space="preserve">工作领导小组办公室           </w:t>
      </w:r>
    </w:p>
    <w:p>
      <w:pPr>
        <w:pStyle w:val="5"/>
        <w:keepNext w:val="0"/>
        <w:keepLines w:val="0"/>
        <w:widowControl w:val="0"/>
        <w:shd w:val="clear" w:color="auto" w:fill="auto"/>
        <w:bidi w:val="0"/>
        <w:spacing w:before="0" w:after="0" w:line="625" w:lineRule="exact"/>
        <w:ind w:left="0" w:right="0" w:firstLine="660"/>
        <w:jc w:val="right"/>
        <w:rPr>
          <w:rFonts w:hint="default" w:ascii="仿宋" w:hAnsi="仿宋" w:eastAsia="仿宋" w:cs="仿宋"/>
          <w:b w:val="0"/>
          <w:bCs w:val="0"/>
          <w:i w:val="0"/>
          <w:iCs w:val="0"/>
          <w:smallCaps w:val="0"/>
          <w:strike w:val="0"/>
          <w:color w:val="000000"/>
          <w:spacing w:val="0"/>
          <w:w w:val="100"/>
          <w:position w:val="0"/>
          <w:sz w:val="32"/>
          <w:szCs w:val="32"/>
          <w:lang w:val="en-US" w:eastAsia="zh-CN"/>
        </w:rPr>
        <w:sectPr>
          <w:footerReference r:id="rId3" w:type="default"/>
          <w:footerReference r:id="rId4" w:type="even"/>
          <w:footnotePr>
            <w:numFmt w:val="decimal"/>
          </w:footnotePr>
          <w:pgSz w:w="11900" w:h="16840"/>
          <w:pgMar w:top="1810" w:right="1409" w:bottom="3856" w:left="1462" w:header="0" w:footer="3" w:gutter="0"/>
          <w:pgNumType w:start="1"/>
          <w:cols w:space="720" w:num="1"/>
          <w:rtlGutter w:val="0"/>
          <w:docGrid w:linePitch="360" w:charSpace="0"/>
        </w:sectPr>
      </w:pPr>
      <w:r>
        <w:rPr>
          <w:rFonts w:hint="eastAsia" w:ascii="仿宋" w:hAnsi="仿宋" w:eastAsia="仿宋" w:cs="仿宋"/>
          <w:b w:val="0"/>
          <w:bCs w:val="0"/>
          <w:i w:val="0"/>
          <w:iCs w:val="0"/>
          <w:smallCaps w:val="0"/>
          <w:strike w:val="0"/>
          <w:color w:val="000000"/>
          <w:spacing w:val="0"/>
          <w:w w:val="100"/>
          <w:position w:val="0"/>
          <w:sz w:val="32"/>
          <w:szCs w:val="32"/>
        </w:rPr>
        <w:t>2020年</w:t>
      </w:r>
      <w:r>
        <w:rPr>
          <w:rFonts w:hint="eastAsia" w:ascii="仿宋" w:hAnsi="仿宋" w:eastAsia="仿宋" w:cs="仿宋"/>
          <w:b w:val="0"/>
          <w:bCs w:val="0"/>
          <w:i w:val="0"/>
          <w:iCs w:val="0"/>
          <w:smallCaps w:val="0"/>
          <w:strike w:val="0"/>
          <w:color w:val="000000"/>
          <w:spacing w:val="0"/>
          <w:w w:val="100"/>
          <w:position w:val="0"/>
          <w:sz w:val="32"/>
          <w:szCs w:val="32"/>
          <w:lang w:val="en-US" w:eastAsia="zh-CN"/>
        </w:rPr>
        <w:t>7</w:t>
      </w:r>
      <w:r>
        <w:rPr>
          <w:rFonts w:hint="eastAsia" w:ascii="仿宋" w:hAnsi="仿宋" w:eastAsia="仿宋" w:cs="仿宋"/>
          <w:b w:val="0"/>
          <w:bCs w:val="0"/>
          <w:i w:val="0"/>
          <w:iCs w:val="0"/>
          <w:smallCaps w:val="0"/>
          <w:strike w:val="0"/>
          <w:color w:val="000000"/>
          <w:spacing w:val="0"/>
          <w:w w:val="100"/>
          <w:position w:val="0"/>
          <w:sz w:val="32"/>
          <w:szCs w:val="32"/>
        </w:rPr>
        <w:t>月</w:t>
      </w:r>
      <w:r>
        <w:rPr>
          <w:rFonts w:hint="eastAsia" w:ascii="仿宋" w:hAnsi="仿宋" w:eastAsia="仿宋" w:cs="仿宋"/>
          <w:b w:val="0"/>
          <w:bCs w:val="0"/>
          <w:i w:val="0"/>
          <w:iCs w:val="0"/>
          <w:smallCaps w:val="0"/>
          <w:strike w:val="0"/>
          <w:color w:val="000000"/>
          <w:spacing w:val="0"/>
          <w:w w:val="100"/>
          <w:position w:val="0"/>
          <w:sz w:val="32"/>
          <w:szCs w:val="32"/>
          <w:lang w:val="en-US" w:eastAsia="zh-CN"/>
        </w:rPr>
        <w:t>8日</w:t>
      </w:r>
    </w:p>
    <w:p>
      <w:pPr>
        <w:pStyle w:val="7"/>
        <w:keepNext/>
        <w:keepLines/>
        <w:widowControl w:val="0"/>
        <w:shd w:val="clear" w:color="auto" w:fill="auto"/>
        <w:bidi w:val="0"/>
        <w:spacing w:before="0"/>
        <w:ind w:left="0" w:right="0" w:firstLine="0"/>
        <w:jc w:val="center"/>
      </w:pPr>
      <w:bookmarkStart w:id="0" w:name="bookmark3"/>
      <w:bookmarkStart w:id="1" w:name="bookmark4"/>
      <w:bookmarkStart w:id="2" w:name="bookmark5"/>
      <w:r>
        <w:rPr>
          <w:color w:val="000000"/>
          <w:spacing w:val="0"/>
          <w:w w:val="100"/>
          <w:position w:val="0"/>
        </w:rPr>
        <w:t>关于进一步优化社会投资简易低风险工程建设项目审批服务实施意见（试行）</w:t>
      </w:r>
      <w:bookmarkEnd w:id="0"/>
      <w:bookmarkEnd w:id="1"/>
      <w:bookmarkEnd w:id="2"/>
    </w:p>
    <w:p>
      <w:pPr>
        <w:pStyle w:val="5"/>
        <w:keepNext w:val="0"/>
        <w:keepLines w:val="0"/>
        <w:widowControl w:val="0"/>
        <w:shd w:val="clear" w:color="auto" w:fill="auto"/>
        <w:bidi w:val="0"/>
        <w:spacing w:before="0" w:after="0" w:line="625"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根据国务院办公厅《关于全面开展工程建设项目审批制度改革的实施意见》（国办发〔2019〕11号））、《国务院办公厅关于进一步优化营商环境更好服务市场主体的实施意见》（国办发〔2020〕24号）等文件精神，为持续优化和改善本市施工许可营商环境，进一步提高我市社会投资简易低风险工程建设项目审批效率和服务质量，更好地支持中小企业发展，制定本实施意见。</w:t>
      </w:r>
    </w:p>
    <w:p>
      <w:pPr>
        <w:pStyle w:val="5"/>
        <w:keepNext w:val="0"/>
        <w:keepLines w:val="0"/>
        <w:widowControl w:val="0"/>
        <w:shd w:val="clear" w:color="auto" w:fill="auto"/>
        <w:bidi w:val="0"/>
        <w:spacing w:before="0" w:after="0" w:line="625" w:lineRule="exact"/>
        <w:ind w:left="0" w:right="0" w:firstLine="660"/>
        <w:jc w:val="both"/>
        <w:rPr>
          <w:rFonts w:hint="eastAsia" w:ascii="仿宋" w:hAnsi="仿宋" w:eastAsia="仿宋" w:cs="仿宋"/>
          <w:b w:val="0"/>
          <w:bCs w:val="0"/>
          <w:i w:val="0"/>
          <w:iCs w:val="0"/>
          <w:smallCaps w:val="0"/>
          <w:strike w:val="0"/>
          <w:color w:val="000000"/>
          <w:spacing w:val="0"/>
          <w:w w:val="100"/>
          <w:position w:val="0"/>
          <w:sz w:val="32"/>
          <w:szCs w:val="32"/>
        </w:rPr>
      </w:pPr>
      <w:bookmarkStart w:id="3" w:name="bookmark6"/>
      <w:r>
        <w:rPr>
          <w:rFonts w:hint="eastAsia" w:ascii="仿宋" w:hAnsi="仿宋" w:eastAsia="仿宋" w:cs="仿宋"/>
          <w:b w:val="0"/>
          <w:bCs w:val="0"/>
          <w:i w:val="0"/>
          <w:iCs w:val="0"/>
          <w:smallCaps w:val="0"/>
          <w:strike w:val="0"/>
          <w:color w:val="000000"/>
          <w:spacing w:val="0"/>
          <w:w w:val="100"/>
          <w:position w:val="0"/>
          <w:sz w:val="32"/>
          <w:szCs w:val="32"/>
        </w:rPr>
        <w:t>一</w:t>
      </w:r>
      <w:bookmarkEnd w:id="3"/>
      <w:r>
        <w:rPr>
          <w:rFonts w:hint="eastAsia" w:ascii="仿宋" w:hAnsi="仿宋" w:eastAsia="仿宋" w:cs="仿宋"/>
          <w:b w:val="0"/>
          <w:bCs w:val="0"/>
          <w:i w:val="0"/>
          <w:iCs w:val="0"/>
          <w:smallCaps w:val="0"/>
          <w:strike w:val="0"/>
          <w:color w:val="000000"/>
          <w:spacing w:val="0"/>
          <w:w w:val="100"/>
          <w:position w:val="0"/>
          <w:sz w:val="32"/>
          <w:szCs w:val="32"/>
        </w:rPr>
        <w:t>、本意见所指的社会投资简易低风险工程建设项目是指：项目总建筑面积不大于3000平方米、其中地下建筑面积不大于1000平方米，建筑高度不大于24米，功能单一、技术要求简单的办公、普通仓库和厂房等社会投资项目</w:t>
      </w:r>
      <w:r>
        <w:rPr>
          <w:rFonts w:hint="eastAsia" w:ascii="仿宋" w:hAnsi="仿宋" w:eastAsia="仿宋" w:cs="仿宋"/>
          <w:b w:val="0"/>
          <w:bCs w:val="0"/>
          <w:i w:val="0"/>
          <w:iCs w:val="0"/>
          <w:smallCaps w:val="0"/>
          <w:strike w:val="0"/>
          <w:color w:val="000000"/>
          <w:spacing w:val="0"/>
          <w:w w:val="100"/>
          <w:position w:val="0"/>
          <w:sz w:val="32"/>
          <w:szCs w:val="32"/>
          <w:lang w:eastAsia="zh-CN"/>
        </w:rPr>
        <w:t>，</w:t>
      </w:r>
      <w:r>
        <w:rPr>
          <w:rFonts w:hint="eastAsia" w:ascii="仿宋" w:hAnsi="仿宋" w:eastAsia="仿宋" w:cs="仿宋"/>
          <w:b w:val="0"/>
          <w:bCs w:val="0"/>
          <w:i w:val="0"/>
          <w:iCs w:val="0"/>
          <w:smallCaps w:val="0"/>
          <w:strike w:val="0"/>
          <w:color w:val="000000"/>
          <w:spacing w:val="0"/>
          <w:w w:val="100"/>
          <w:position w:val="0"/>
          <w:sz w:val="32"/>
          <w:szCs w:val="32"/>
        </w:rPr>
        <w:t>且不生产、储存、使用易燃、易爆、有毒、有害物品或危险品。具体以社会投资简易低风险项目清单为准（详见附件1）。</w:t>
      </w:r>
    </w:p>
    <w:p>
      <w:pPr>
        <w:pStyle w:val="5"/>
        <w:keepNext w:val="0"/>
        <w:keepLines w:val="0"/>
        <w:widowControl w:val="0"/>
        <w:shd w:val="clear" w:color="auto" w:fill="auto"/>
        <w:bidi w:val="0"/>
        <w:spacing w:before="0" w:after="0" w:line="625" w:lineRule="exact"/>
        <w:ind w:left="0" w:right="0" w:firstLine="660"/>
        <w:jc w:val="both"/>
        <w:rPr>
          <w:rFonts w:hint="eastAsia" w:ascii="仿宋" w:hAnsi="仿宋" w:eastAsia="仿宋" w:cs="仿宋"/>
          <w:b w:val="0"/>
          <w:bCs w:val="0"/>
          <w:i w:val="0"/>
          <w:iCs w:val="0"/>
          <w:smallCaps w:val="0"/>
          <w:strike w:val="0"/>
          <w:color w:val="000000"/>
          <w:spacing w:val="0"/>
          <w:w w:val="100"/>
          <w:position w:val="0"/>
          <w:sz w:val="32"/>
          <w:szCs w:val="32"/>
        </w:rPr>
      </w:pPr>
      <w:r>
        <w:rPr>
          <w:rFonts w:hint="eastAsia" w:ascii="仿宋" w:hAnsi="仿宋" w:eastAsia="仿宋" w:cs="仿宋"/>
          <w:b w:val="0"/>
          <w:bCs w:val="0"/>
          <w:i w:val="0"/>
          <w:iCs w:val="0"/>
          <w:smallCaps w:val="0"/>
          <w:strike w:val="0"/>
          <w:color w:val="000000"/>
          <w:spacing w:val="0"/>
          <w:w w:val="100"/>
          <w:position w:val="0"/>
          <w:sz w:val="32"/>
          <w:szCs w:val="32"/>
        </w:rPr>
        <w:t>对关系国家安全、涉及重大生产力布局、战略性资源开发和重大公共利益等项目，以及涉及易燃易爆、有毒有害等安全保护项目、涉及生态环境影响大的项目、涉及历史建筑保护、历史文化街区保护、传统村落保护项目、涉及城市重点地段项目、涉及纪念性、标志性或处于城市重要节点的项目</w:t>
      </w:r>
      <w:r>
        <w:rPr>
          <w:rFonts w:hint="eastAsia" w:ascii="仿宋" w:hAnsi="仿宋" w:eastAsia="仿宋" w:cs="仿宋"/>
          <w:b w:val="0"/>
          <w:bCs w:val="0"/>
          <w:i w:val="0"/>
          <w:iCs w:val="0"/>
          <w:smallCaps w:val="0"/>
          <w:strike w:val="0"/>
          <w:color w:val="000000"/>
          <w:spacing w:val="0"/>
          <w:w w:val="100"/>
          <w:position w:val="0"/>
          <w:sz w:val="32"/>
          <w:szCs w:val="32"/>
          <w:lang w:eastAsia="zh-CN"/>
        </w:rPr>
        <w:t>、</w:t>
      </w:r>
      <w:r>
        <w:rPr>
          <w:rFonts w:hint="eastAsia" w:ascii="仿宋" w:hAnsi="仿宋" w:eastAsia="仿宋" w:cs="仿宋"/>
          <w:b w:val="0"/>
          <w:bCs w:val="0"/>
          <w:i w:val="0"/>
          <w:iCs w:val="0"/>
          <w:smallCaps w:val="0"/>
          <w:strike w:val="0"/>
          <w:color w:val="000000"/>
          <w:spacing w:val="0"/>
          <w:w w:val="100"/>
          <w:position w:val="0"/>
          <w:sz w:val="32"/>
          <w:szCs w:val="32"/>
        </w:rPr>
        <w:t>涉及防洪安全项目、涉及风貌保护、轨道交通保护等特定区域的项目除外。</w:t>
      </w:r>
    </w:p>
    <w:p>
      <w:pPr>
        <w:pStyle w:val="5"/>
        <w:keepNext w:val="0"/>
        <w:keepLines w:val="0"/>
        <w:widowControl w:val="0"/>
        <w:shd w:val="clear" w:color="auto" w:fill="auto"/>
        <w:tabs>
          <w:tab w:val="left" w:pos="1277"/>
        </w:tabs>
        <w:bidi w:val="0"/>
        <w:spacing w:before="0" w:after="0" w:line="625" w:lineRule="exact"/>
        <w:ind w:left="0" w:right="0" w:firstLine="660"/>
        <w:jc w:val="both"/>
        <w:rPr>
          <w:rFonts w:hint="eastAsia" w:ascii="仿宋" w:hAnsi="仿宋" w:eastAsia="仿宋" w:cs="仿宋"/>
          <w:sz w:val="32"/>
          <w:szCs w:val="32"/>
        </w:rPr>
      </w:pPr>
      <w:bookmarkStart w:id="4" w:name="bookmark7"/>
      <w:r>
        <w:rPr>
          <w:rFonts w:hint="eastAsia" w:ascii="仿宋" w:hAnsi="仿宋" w:eastAsia="仿宋" w:cs="仿宋"/>
          <w:color w:val="000000"/>
          <w:spacing w:val="0"/>
          <w:w w:val="100"/>
          <w:position w:val="0"/>
          <w:sz w:val="32"/>
          <w:szCs w:val="32"/>
        </w:rPr>
        <w:t>二</w:t>
      </w:r>
      <w:bookmarkEnd w:id="4"/>
      <w:r>
        <w:rPr>
          <w:rFonts w:hint="eastAsia" w:ascii="仿宋" w:hAnsi="仿宋" w:eastAsia="仿宋" w:cs="仿宋"/>
          <w:color w:val="000000"/>
          <w:spacing w:val="0"/>
          <w:w w:val="100"/>
          <w:position w:val="0"/>
          <w:sz w:val="32"/>
          <w:szCs w:val="32"/>
        </w:rPr>
        <w:t>、全面推行一站式免费代办服务，市、区政务服务中心或政府指定机构对上述工程建设项目开展全流程免费代办业务，各项审批手续统一通过</w:t>
      </w:r>
      <w:r>
        <w:rPr>
          <w:rFonts w:hint="eastAsia" w:ascii="仿宋" w:hAnsi="仿宋" w:eastAsia="仿宋" w:cs="仿宋"/>
          <w:color w:val="000000"/>
          <w:spacing w:val="0"/>
          <w:w w:val="100"/>
          <w:position w:val="0"/>
          <w:sz w:val="32"/>
          <w:szCs w:val="32"/>
          <w:lang w:val="en-US" w:eastAsia="zh-CN"/>
        </w:rPr>
        <w:t>湖南省工程建设项目审批管理系统</w:t>
      </w:r>
      <w:r>
        <w:rPr>
          <w:rFonts w:hint="eastAsia" w:ascii="仿宋" w:hAnsi="仿宋" w:eastAsia="仿宋" w:cs="仿宋"/>
          <w:color w:val="000000"/>
          <w:spacing w:val="0"/>
          <w:w w:val="100"/>
          <w:position w:val="0"/>
          <w:sz w:val="32"/>
          <w:szCs w:val="32"/>
        </w:rPr>
        <w:t>（以下简称</w:t>
      </w:r>
      <w:r>
        <w:rPr>
          <w:rFonts w:hint="eastAsia" w:ascii="仿宋" w:hAnsi="仿宋" w:eastAsia="仿宋" w:cs="仿宋"/>
          <w:color w:val="000000"/>
          <w:spacing w:val="0"/>
          <w:w w:val="100"/>
          <w:position w:val="0"/>
          <w:sz w:val="32"/>
          <w:szCs w:val="32"/>
          <w:lang w:val="en-US" w:eastAsia="zh-CN"/>
        </w:rPr>
        <w:t>审批系统</w:t>
      </w:r>
      <w:r>
        <w:rPr>
          <w:rFonts w:hint="eastAsia" w:ascii="仿宋" w:hAnsi="仿宋" w:eastAsia="仿宋" w:cs="仿宋"/>
          <w:color w:val="000000"/>
          <w:spacing w:val="0"/>
          <w:w w:val="100"/>
          <w:position w:val="0"/>
          <w:sz w:val="32"/>
          <w:szCs w:val="32"/>
        </w:rPr>
        <w:t>）办理。</w:t>
      </w:r>
    </w:p>
    <w:p>
      <w:pPr>
        <w:pStyle w:val="5"/>
        <w:keepNext w:val="0"/>
        <w:keepLines w:val="0"/>
        <w:widowControl w:val="0"/>
        <w:shd w:val="clear" w:color="auto" w:fill="auto"/>
        <w:tabs>
          <w:tab w:val="left" w:pos="1277"/>
        </w:tabs>
        <w:bidi w:val="0"/>
        <w:spacing w:before="0" w:after="0" w:line="625" w:lineRule="exact"/>
        <w:ind w:left="0" w:right="0" w:firstLine="660"/>
        <w:jc w:val="both"/>
        <w:rPr>
          <w:rFonts w:hint="eastAsia" w:ascii="仿宋" w:hAnsi="仿宋" w:eastAsia="仿宋" w:cs="仿宋"/>
          <w:sz w:val="32"/>
          <w:szCs w:val="32"/>
        </w:rPr>
      </w:pPr>
      <w:bookmarkStart w:id="5" w:name="bookmark8"/>
      <w:r>
        <w:rPr>
          <w:rFonts w:hint="eastAsia" w:ascii="仿宋" w:hAnsi="仿宋" w:eastAsia="仿宋" w:cs="仿宋"/>
          <w:color w:val="000000"/>
          <w:spacing w:val="0"/>
          <w:w w:val="100"/>
          <w:position w:val="0"/>
          <w:sz w:val="32"/>
          <w:szCs w:val="32"/>
        </w:rPr>
        <w:t>三</w:t>
      </w:r>
      <w:bookmarkEnd w:id="5"/>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val="en-US" w:eastAsia="zh-CN"/>
        </w:rPr>
        <w:t>办理企业投资项目备案</w:t>
      </w:r>
      <w:r>
        <w:rPr>
          <w:rFonts w:hint="eastAsia" w:ascii="仿宋" w:hAnsi="仿宋" w:eastAsia="仿宋" w:cs="仿宋"/>
          <w:color w:val="000000"/>
          <w:spacing w:val="0"/>
          <w:w w:val="100"/>
          <w:position w:val="0"/>
          <w:sz w:val="32"/>
          <w:szCs w:val="32"/>
        </w:rPr>
        <w:t>不需提供任何材料。审批系统填报项目及项目单位有关信息，并阅知有关承诺并点击同意即可</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企业投资备案完成即可</w:t>
      </w:r>
      <w:r>
        <w:rPr>
          <w:rFonts w:hint="eastAsia" w:ascii="仿宋" w:hAnsi="仿宋" w:eastAsia="仿宋" w:cs="仿宋"/>
          <w:color w:val="000000"/>
          <w:spacing w:val="0"/>
          <w:w w:val="100"/>
          <w:position w:val="0"/>
          <w:sz w:val="32"/>
          <w:szCs w:val="32"/>
          <w:lang w:eastAsia="zh-CN"/>
        </w:rPr>
        <w:t>完成项目赋码申请，取得项目赋码。</w:t>
      </w:r>
    </w:p>
    <w:p>
      <w:pPr>
        <w:pStyle w:val="5"/>
        <w:keepNext w:val="0"/>
        <w:keepLines w:val="0"/>
        <w:widowControl w:val="0"/>
        <w:shd w:val="clear" w:color="auto" w:fill="auto"/>
        <w:tabs>
          <w:tab w:val="left" w:pos="1282"/>
        </w:tabs>
        <w:bidi w:val="0"/>
        <w:spacing w:before="0" w:after="0" w:line="625" w:lineRule="exact"/>
        <w:ind w:left="0" w:right="0" w:firstLine="640"/>
        <w:jc w:val="both"/>
        <w:rPr>
          <w:rFonts w:hint="eastAsia" w:ascii="仿宋" w:hAnsi="仿宋" w:eastAsia="仿宋" w:cs="仿宋"/>
          <w:color w:val="FF0000"/>
          <w:spacing w:val="0"/>
          <w:w w:val="100"/>
          <w:position w:val="0"/>
          <w:sz w:val="32"/>
          <w:szCs w:val="32"/>
          <w:lang w:val="en-US" w:eastAsia="zh-CN"/>
        </w:rPr>
      </w:pPr>
      <w:bookmarkStart w:id="6" w:name="bookmark9"/>
      <w:r>
        <w:rPr>
          <w:rFonts w:hint="eastAsia" w:ascii="仿宋" w:hAnsi="仿宋" w:eastAsia="仿宋" w:cs="仿宋"/>
          <w:color w:val="FF0000"/>
          <w:spacing w:val="0"/>
          <w:w w:val="100"/>
          <w:position w:val="0"/>
          <w:sz w:val="32"/>
          <w:szCs w:val="32"/>
        </w:rPr>
        <w:t>四</w:t>
      </w:r>
      <w:bookmarkEnd w:id="6"/>
      <w:r>
        <w:rPr>
          <w:rFonts w:hint="eastAsia" w:ascii="仿宋" w:hAnsi="仿宋" w:eastAsia="仿宋" w:cs="仿宋"/>
          <w:color w:val="FF0000"/>
          <w:spacing w:val="0"/>
          <w:w w:val="100"/>
          <w:position w:val="0"/>
          <w:sz w:val="32"/>
          <w:szCs w:val="32"/>
        </w:rPr>
        <w:t>、</w:t>
      </w:r>
      <w:r>
        <w:rPr>
          <w:rFonts w:hint="eastAsia" w:ascii="仿宋" w:hAnsi="仿宋" w:eastAsia="仿宋" w:cs="仿宋"/>
          <w:color w:val="FF0000"/>
          <w:spacing w:val="0"/>
          <w:w w:val="100"/>
          <w:position w:val="0"/>
          <w:sz w:val="32"/>
          <w:szCs w:val="32"/>
          <w:lang w:val="en-US" w:eastAsia="zh-CN"/>
        </w:rPr>
        <w:t>加强区域评估成果的应用，已进行区域评估且符合区域评估适用条件的，或已在用地指标中明确相关指标要求的，免办</w:t>
      </w:r>
      <w:r>
        <w:rPr>
          <w:rFonts w:hint="eastAsia" w:ascii="仿宋" w:hAnsi="仿宋" w:eastAsia="仿宋" w:cs="仿宋"/>
          <w:color w:val="FF0000"/>
          <w:spacing w:val="0"/>
          <w:w w:val="100"/>
          <w:position w:val="0"/>
          <w:sz w:val="32"/>
          <w:szCs w:val="32"/>
        </w:rPr>
        <w:t>交通影响评价、</w:t>
      </w:r>
      <w:r>
        <w:rPr>
          <w:rFonts w:hint="eastAsia" w:ascii="仿宋" w:hAnsi="仿宋" w:eastAsia="仿宋" w:cs="仿宋"/>
          <w:color w:val="FF0000"/>
          <w:spacing w:val="0"/>
          <w:w w:val="100"/>
          <w:position w:val="0"/>
          <w:sz w:val="32"/>
          <w:szCs w:val="32"/>
          <w:lang w:val="en-US" w:eastAsia="zh-CN"/>
        </w:rPr>
        <w:t>洪</w:t>
      </w:r>
      <w:r>
        <w:rPr>
          <w:rFonts w:hint="eastAsia" w:ascii="仿宋" w:hAnsi="仿宋" w:eastAsia="仿宋" w:cs="仿宋"/>
          <w:color w:val="FF0000"/>
          <w:spacing w:val="0"/>
          <w:w w:val="100"/>
          <w:position w:val="0"/>
          <w:sz w:val="32"/>
          <w:szCs w:val="32"/>
        </w:rPr>
        <w:t>水影响评价、生产建设项目水土保持方案</w:t>
      </w:r>
      <w:r>
        <w:rPr>
          <w:rFonts w:hint="eastAsia" w:ascii="仿宋" w:hAnsi="仿宋" w:eastAsia="仿宋" w:cs="仿宋"/>
          <w:color w:val="FF0000"/>
          <w:spacing w:val="0"/>
          <w:w w:val="100"/>
          <w:position w:val="0"/>
          <w:sz w:val="32"/>
          <w:szCs w:val="32"/>
          <w:lang w:val="en-US" w:eastAsia="zh-CN"/>
        </w:rPr>
        <w:t>评审</w:t>
      </w:r>
      <w:r>
        <w:rPr>
          <w:rFonts w:hint="eastAsia" w:ascii="仿宋" w:hAnsi="仿宋" w:eastAsia="仿宋" w:cs="仿宋"/>
          <w:color w:val="FF0000"/>
          <w:spacing w:val="0"/>
          <w:w w:val="100"/>
          <w:position w:val="0"/>
          <w:sz w:val="32"/>
          <w:szCs w:val="32"/>
          <w:lang w:eastAsia="zh-CN"/>
        </w:rPr>
        <w:t>、</w:t>
      </w:r>
      <w:r>
        <w:rPr>
          <w:rFonts w:hint="eastAsia" w:ascii="仿宋" w:hAnsi="仿宋" w:eastAsia="仿宋" w:cs="仿宋"/>
          <w:color w:val="FF0000"/>
          <w:spacing w:val="0"/>
          <w:w w:val="100"/>
          <w:position w:val="0"/>
          <w:sz w:val="32"/>
          <w:szCs w:val="32"/>
        </w:rPr>
        <w:t>节能</w:t>
      </w:r>
      <w:r>
        <w:rPr>
          <w:rFonts w:hint="eastAsia" w:ascii="仿宋" w:hAnsi="仿宋" w:eastAsia="仿宋" w:cs="仿宋"/>
          <w:color w:val="FF0000"/>
          <w:spacing w:val="0"/>
          <w:w w:val="100"/>
          <w:position w:val="0"/>
          <w:sz w:val="32"/>
          <w:szCs w:val="32"/>
          <w:lang w:val="en-US" w:eastAsia="zh-CN"/>
        </w:rPr>
        <w:t>评审</w:t>
      </w:r>
      <w:r>
        <w:rPr>
          <w:rFonts w:hint="eastAsia" w:ascii="仿宋" w:hAnsi="仿宋" w:eastAsia="仿宋" w:cs="仿宋"/>
          <w:color w:val="FF0000"/>
          <w:spacing w:val="0"/>
          <w:w w:val="100"/>
          <w:position w:val="0"/>
          <w:sz w:val="32"/>
          <w:szCs w:val="32"/>
        </w:rPr>
        <w:t>、</w:t>
      </w:r>
      <w:r>
        <w:rPr>
          <w:rFonts w:hint="eastAsia" w:ascii="仿宋" w:hAnsi="仿宋" w:eastAsia="仿宋" w:cs="仿宋"/>
          <w:color w:val="FF0000"/>
          <w:spacing w:val="0"/>
          <w:w w:val="100"/>
          <w:position w:val="0"/>
          <w:sz w:val="32"/>
          <w:szCs w:val="32"/>
          <w:lang w:val="en-US" w:eastAsia="zh-CN"/>
        </w:rPr>
        <w:t>文物影响评价</w:t>
      </w:r>
      <w:r>
        <w:rPr>
          <w:rFonts w:hint="eastAsia" w:ascii="仿宋" w:hAnsi="仿宋" w:eastAsia="仿宋" w:cs="仿宋"/>
          <w:color w:val="FF0000"/>
          <w:spacing w:val="0"/>
          <w:w w:val="100"/>
          <w:position w:val="0"/>
          <w:sz w:val="32"/>
          <w:szCs w:val="32"/>
          <w:lang w:eastAsia="zh-CN"/>
        </w:rPr>
        <w:t>、</w:t>
      </w:r>
      <w:r>
        <w:rPr>
          <w:rFonts w:hint="eastAsia" w:ascii="仿宋" w:hAnsi="仿宋" w:eastAsia="仿宋" w:cs="仿宋"/>
          <w:color w:val="FF0000"/>
          <w:spacing w:val="0"/>
          <w:w w:val="100"/>
          <w:position w:val="0"/>
          <w:sz w:val="32"/>
          <w:szCs w:val="32"/>
        </w:rPr>
        <w:t>地震安全性评价等评估评价工作。</w:t>
      </w:r>
    </w:p>
    <w:p>
      <w:pPr>
        <w:pStyle w:val="5"/>
        <w:keepNext w:val="0"/>
        <w:keepLines w:val="0"/>
        <w:widowControl w:val="0"/>
        <w:shd w:val="clear" w:color="auto" w:fill="auto"/>
        <w:tabs>
          <w:tab w:val="left" w:pos="1282"/>
        </w:tabs>
        <w:bidi w:val="0"/>
        <w:spacing w:before="0" w:after="0" w:line="625" w:lineRule="exact"/>
        <w:ind w:left="0" w:right="0" w:firstLine="640"/>
        <w:jc w:val="both"/>
        <w:rPr>
          <w:rFonts w:hint="eastAsia" w:ascii="仿宋" w:hAnsi="仿宋" w:eastAsia="仿宋" w:cs="仿宋"/>
          <w:color w:val="FF0000"/>
          <w:spacing w:val="0"/>
          <w:w w:val="100"/>
          <w:position w:val="0"/>
          <w:sz w:val="32"/>
          <w:szCs w:val="32"/>
        </w:rPr>
      </w:pPr>
      <w:bookmarkStart w:id="7" w:name="bookmark10"/>
      <w:r>
        <w:rPr>
          <w:rFonts w:hint="eastAsia" w:ascii="仿宋" w:hAnsi="仿宋" w:eastAsia="仿宋" w:cs="仿宋"/>
          <w:color w:val="FF0000"/>
          <w:spacing w:val="0"/>
          <w:w w:val="100"/>
          <w:position w:val="0"/>
          <w:sz w:val="32"/>
          <w:szCs w:val="32"/>
        </w:rPr>
        <w:t>五</w:t>
      </w:r>
      <w:bookmarkEnd w:id="7"/>
      <w:r>
        <w:rPr>
          <w:rFonts w:hint="eastAsia" w:ascii="仿宋" w:hAnsi="仿宋" w:eastAsia="仿宋" w:cs="仿宋"/>
          <w:color w:val="FF0000"/>
          <w:spacing w:val="0"/>
          <w:w w:val="100"/>
          <w:position w:val="0"/>
          <w:sz w:val="32"/>
          <w:szCs w:val="32"/>
        </w:rPr>
        <w:t>、岩土工程</w:t>
      </w:r>
      <w:r>
        <w:rPr>
          <w:rFonts w:hint="eastAsia" w:ascii="仿宋" w:hAnsi="仿宋" w:eastAsia="仿宋" w:cs="仿宋"/>
          <w:color w:val="FF0000"/>
          <w:spacing w:val="0"/>
          <w:w w:val="100"/>
          <w:position w:val="0"/>
          <w:sz w:val="32"/>
          <w:szCs w:val="32"/>
          <w:lang w:val="en-US" w:eastAsia="zh-CN"/>
        </w:rPr>
        <w:t>初步</w:t>
      </w:r>
      <w:r>
        <w:rPr>
          <w:rFonts w:hint="eastAsia" w:ascii="仿宋" w:hAnsi="仿宋" w:eastAsia="仿宋" w:cs="仿宋"/>
          <w:color w:val="FF0000"/>
          <w:spacing w:val="0"/>
          <w:w w:val="100"/>
          <w:position w:val="0"/>
          <w:sz w:val="32"/>
          <w:szCs w:val="32"/>
        </w:rPr>
        <w:t>勘察工作应在土地出让前由项目所在地的区级人民政府相关部门、特定地区管委会或土地收储部门委托勘察单位完成。推行社会投资简易低风险项目土地带方案出让。</w:t>
      </w:r>
    </w:p>
    <w:p>
      <w:pPr>
        <w:pStyle w:val="5"/>
        <w:keepNext w:val="0"/>
        <w:keepLines w:val="0"/>
        <w:widowControl w:val="0"/>
        <w:shd w:val="clear" w:color="auto" w:fill="auto"/>
        <w:tabs>
          <w:tab w:val="left" w:pos="1282"/>
        </w:tabs>
        <w:bidi w:val="0"/>
        <w:spacing w:before="0" w:after="0" w:line="625" w:lineRule="exact"/>
        <w:ind w:left="0" w:right="0" w:firstLine="640"/>
        <w:jc w:val="both"/>
        <w:rPr>
          <w:rFonts w:hint="eastAsia" w:ascii="仿宋" w:hAnsi="仿宋" w:eastAsia="仿宋" w:cs="仿宋"/>
          <w:color w:val="FF0000"/>
          <w:spacing w:val="0"/>
          <w:w w:val="100"/>
          <w:position w:val="0"/>
          <w:sz w:val="32"/>
          <w:szCs w:val="32"/>
        </w:rPr>
      </w:pPr>
      <w:r>
        <w:rPr>
          <w:rFonts w:hint="eastAsia" w:ascii="仿宋" w:hAnsi="仿宋" w:eastAsia="仿宋" w:cs="仿宋"/>
          <w:color w:val="FF0000"/>
          <w:spacing w:val="0"/>
          <w:w w:val="100"/>
          <w:position w:val="0"/>
          <w:sz w:val="32"/>
          <w:szCs w:val="32"/>
          <w:lang w:val="en-US" w:eastAsia="zh-CN"/>
        </w:rPr>
        <w:t>六、</w:t>
      </w:r>
      <w:r>
        <w:rPr>
          <w:rFonts w:hint="eastAsia" w:ascii="仿宋" w:hAnsi="仿宋" w:eastAsia="仿宋" w:cs="仿宋"/>
          <w:color w:val="FF0000"/>
          <w:spacing w:val="0"/>
          <w:w w:val="100"/>
          <w:position w:val="0"/>
          <w:sz w:val="32"/>
          <w:szCs w:val="32"/>
        </w:rPr>
        <w:t>不再强制要求进行工程监理。社会投资简易低风险工程建设项目原则上不再强制要求进行工程监理。建设单位可以自主决策选择监理或全过程工程咨询服务等其它管理模式。鼓励有条件的建设单位实行自管模式。</w:t>
      </w:r>
    </w:p>
    <w:p>
      <w:pPr>
        <w:pStyle w:val="5"/>
        <w:keepNext w:val="0"/>
        <w:keepLines w:val="0"/>
        <w:widowControl w:val="0"/>
        <w:shd w:val="clear" w:color="auto" w:fill="auto"/>
        <w:tabs>
          <w:tab w:val="left" w:pos="1282"/>
        </w:tabs>
        <w:bidi w:val="0"/>
        <w:spacing w:before="0" w:after="0" w:line="625"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七</w:t>
      </w:r>
      <w:r>
        <w:rPr>
          <w:rFonts w:hint="eastAsia" w:ascii="仿宋" w:hAnsi="仿宋" w:eastAsia="仿宋" w:cs="仿宋"/>
          <w:color w:val="000000"/>
          <w:spacing w:val="0"/>
          <w:w w:val="100"/>
          <w:position w:val="0"/>
          <w:sz w:val="32"/>
          <w:szCs w:val="32"/>
        </w:rPr>
        <w:t>、免于办理设计方案审查，企业可直接申请办理建设工程规划许可证;</w:t>
      </w:r>
      <w:r>
        <w:rPr>
          <w:rFonts w:hint="eastAsia" w:ascii="仿宋" w:hAnsi="仿宋" w:eastAsia="仿宋" w:cs="仿宋"/>
          <w:color w:val="FF0000"/>
          <w:spacing w:val="0"/>
          <w:w w:val="100"/>
          <w:position w:val="0"/>
          <w:sz w:val="32"/>
          <w:szCs w:val="32"/>
        </w:rPr>
        <w:t>免于核发污水排入排水管网许可证，</w:t>
      </w:r>
      <w:r>
        <w:rPr>
          <w:rFonts w:hint="eastAsia" w:ascii="仿宋" w:hAnsi="仿宋" w:eastAsia="仿宋" w:cs="仿宋"/>
          <w:color w:val="FF0000"/>
          <w:spacing w:val="0"/>
          <w:w w:val="100"/>
          <w:position w:val="0"/>
          <w:sz w:val="32"/>
          <w:szCs w:val="32"/>
          <w:lang w:val="en-US" w:eastAsia="zh-CN"/>
        </w:rPr>
        <w:t>将</w:t>
      </w:r>
      <w:r>
        <w:rPr>
          <w:rFonts w:hint="eastAsia" w:ascii="仿宋" w:hAnsi="仿宋" w:eastAsia="仿宋" w:cs="仿宋"/>
          <w:color w:val="FF0000"/>
          <w:spacing w:val="0"/>
          <w:w w:val="100"/>
          <w:position w:val="0"/>
          <w:sz w:val="32"/>
          <w:szCs w:val="32"/>
        </w:rPr>
        <w:t>施工许可信息至</w:t>
      </w:r>
      <w:r>
        <w:rPr>
          <w:rFonts w:hint="eastAsia" w:ascii="仿宋" w:hAnsi="仿宋" w:eastAsia="仿宋" w:cs="仿宋"/>
          <w:color w:val="FF0000"/>
          <w:spacing w:val="0"/>
          <w:w w:val="100"/>
          <w:position w:val="0"/>
          <w:sz w:val="32"/>
          <w:szCs w:val="32"/>
          <w:lang w:val="en-US" w:eastAsia="zh-CN"/>
        </w:rPr>
        <w:t>城管部门，相关部门直接办理接入</w:t>
      </w:r>
      <w:r>
        <w:rPr>
          <w:rFonts w:hint="eastAsia" w:ascii="仿宋" w:hAnsi="仿宋" w:eastAsia="仿宋" w:cs="仿宋"/>
          <w:color w:val="FF0000"/>
          <w:spacing w:val="0"/>
          <w:w w:val="100"/>
          <w:position w:val="0"/>
          <w:sz w:val="32"/>
          <w:szCs w:val="32"/>
        </w:rPr>
        <w:t>。</w:t>
      </w:r>
      <w:r>
        <w:rPr>
          <w:rFonts w:hint="eastAsia" w:ascii="仿宋" w:hAnsi="仿宋" w:eastAsia="仿宋" w:cs="仿宋"/>
          <w:color w:val="000000"/>
          <w:spacing w:val="0"/>
          <w:w w:val="100"/>
          <w:position w:val="0"/>
          <w:sz w:val="32"/>
          <w:szCs w:val="32"/>
        </w:rPr>
        <w:t>简易低风险项目不纳入环境影响评价管理审批，免于办理环境影响评价审批。</w:t>
      </w:r>
    </w:p>
    <w:p>
      <w:pPr>
        <w:pStyle w:val="5"/>
        <w:keepNext w:val="0"/>
        <w:keepLines w:val="0"/>
        <w:widowControl w:val="0"/>
        <w:shd w:val="clear" w:color="auto" w:fill="auto"/>
        <w:tabs>
          <w:tab w:val="left" w:pos="1282"/>
        </w:tabs>
        <w:bidi w:val="0"/>
        <w:spacing w:before="0" w:after="0" w:line="625" w:lineRule="exact"/>
        <w:ind w:left="0" w:right="0" w:firstLine="640"/>
        <w:jc w:val="both"/>
        <w:rPr>
          <w:rFonts w:hint="eastAsia" w:ascii="仿宋" w:hAnsi="仿宋" w:eastAsia="仿宋" w:cs="仿宋"/>
          <w:b/>
          <w:bCs/>
          <w:color w:val="FF0000"/>
          <w:sz w:val="32"/>
          <w:szCs w:val="32"/>
        </w:rPr>
      </w:pPr>
      <w:r>
        <w:rPr>
          <w:rFonts w:hint="eastAsia" w:ascii="仿宋" w:hAnsi="仿宋" w:eastAsia="仿宋" w:cs="仿宋"/>
          <w:b/>
          <w:bCs/>
          <w:color w:val="FF0000"/>
          <w:spacing w:val="0"/>
          <w:w w:val="100"/>
          <w:position w:val="0"/>
          <w:sz w:val="32"/>
          <w:szCs w:val="32"/>
          <w:lang w:val="en-US" w:eastAsia="zh-CN"/>
        </w:rPr>
        <w:t>八</w:t>
      </w:r>
      <w:r>
        <w:rPr>
          <w:rFonts w:hint="eastAsia" w:ascii="仿宋" w:hAnsi="仿宋" w:eastAsia="仿宋" w:cs="仿宋"/>
          <w:b/>
          <w:bCs/>
          <w:color w:val="FF0000"/>
          <w:spacing w:val="0"/>
          <w:w w:val="100"/>
          <w:position w:val="0"/>
          <w:sz w:val="32"/>
          <w:szCs w:val="32"/>
        </w:rPr>
        <w:t>、</w:t>
      </w:r>
      <w:r>
        <w:rPr>
          <w:rFonts w:hint="eastAsia" w:ascii="仿宋" w:hAnsi="仿宋" w:eastAsia="仿宋" w:cs="仿宋"/>
          <w:b/>
          <w:bCs/>
          <w:color w:val="FF0000"/>
          <w:spacing w:val="0"/>
          <w:w w:val="100"/>
          <w:position w:val="0"/>
          <w:sz w:val="32"/>
          <w:szCs w:val="32"/>
          <w:lang w:val="en-US" w:eastAsia="zh-CN"/>
        </w:rPr>
        <w:t>压减建设工程规划许可证、施工图设计文件审查和形式审核确认、建筑施工许可证办理时限</w:t>
      </w:r>
      <w:r>
        <w:rPr>
          <w:rFonts w:hint="eastAsia" w:ascii="仿宋" w:hAnsi="仿宋" w:eastAsia="仿宋" w:cs="仿宋"/>
          <w:b/>
          <w:bCs/>
          <w:color w:val="FF0000"/>
          <w:spacing w:val="0"/>
          <w:w w:val="100"/>
          <w:position w:val="0"/>
          <w:sz w:val="32"/>
          <w:szCs w:val="32"/>
        </w:rPr>
        <w:t>。</w:t>
      </w:r>
      <w:r>
        <w:rPr>
          <w:rFonts w:hint="eastAsia" w:ascii="仿宋" w:hAnsi="仿宋" w:eastAsia="仿宋" w:cs="仿宋"/>
          <w:b/>
          <w:bCs/>
          <w:color w:val="FF0000"/>
          <w:spacing w:val="0"/>
          <w:w w:val="100"/>
          <w:position w:val="0"/>
          <w:sz w:val="32"/>
          <w:szCs w:val="32"/>
          <w:lang w:val="en-US" w:eastAsia="zh-CN"/>
        </w:rPr>
        <w:t>建设工程规划许可证审批时限压减至5个工作日，</w:t>
      </w:r>
      <w:r>
        <w:rPr>
          <w:rFonts w:hint="eastAsia" w:ascii="仿宋" w:hAnsi="仿宋" w:eastAsia="仿宋" w:cs="仿宋"/>
          <w:b/>
          <w:bCs/>
          <w:color w:val="FF0000"/>
          <w:spacing w:val="0"/>
          <w:w w:val="100"/>
          <w:position w:val="0"/>
          <w:sz w:val="32"/>
          <w:szCs w:val="32"/>
        </w:rPr>
        <w:t>施工图设计文件审查和形式审核确认</w:t>
      </w:r>
      <w:r>
        <w:rPr>
          <w:rFonts w:hint="eastAsia" w:ascii="仿宋" w:hAnsi="仿宋" w:eastAsia="仿宋" w:cs="仿宋"/>
          <w:b/>
          <w:bCs/>
          <w:color w:val="FF0000"/>
          <w:spacing w:val="0"/>
          <w:w w:val="100"/>
          <w:position w:val="0"/>
          <w:sz w:val="32"/>
          <w:szCs w:val="32"/>
          <w:lang w:val="en-US" w:eastAsia="zh-CN"/>
        </w:rPr>
        <w:t>时限压减至8个工作日，施工许可证办理审批时限压减至3个工作日</w:t>
      </w:r>
      <w:r>
        <w:rPr>
          <w:rFonts w:hint="eastAsia" w:ascii="仿宋" w:hAnsi="仿宋" w:eastAsia="仿宋" w:cs="仿宋"/>
          <w:b/>
          <w:bCs/>
          <w:color w:val="FF0000"/>
          <w:spacing w:val="0"/>
          <w:w w:val="100"/>
          <w:position w:val="0"/>
          <w:sz w:val="32"/>
          <w:szCs w:val="32"/>
        </w:rPr>
        <w:t>。</w:t>
      </w:r>
    </w:p>
    <w:p>
      <w:pPr>
        <w:pStyle w:val="5"/>
        <w:keepNext w:val="0"/>
        <w:keepLines w:val="0"/>
        <w:widowControl w:val="0"/>
        <w:shd w:val="clear" w:color="auto" w:fill="auto"/>
        <w:bidi w:val="0"/>
        <w:spacing w:before="0" w:after="0" w:line="240" w:lineRule="auto"/>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九</w:t>
      </w:r>
      <w:r>
        <w:rPr>
          <w:rFonts w:hint="eastAsia" w:ascii="仿宋" w:hAnsi="仿宋" w:eastAsia="仿宋" w:cs="仿宋"/>
          <w:color w:val="000000"/>
          <w:spacing w:val="0"/>
          <w:w w:val="100"/>
          <w:position w:val="0"/>
          <w:sz w:val="32"/>
          <w:szCs w:val="32"/>
        </w:rPr>
        <w:t>、城市基础设施配套费不再向企业收取，纳入土地成本综合考虑。</w:t>
      </w:r>
    </w:p>
    <w:p>
      <w:pPr>
        <w:pStyle w:val="5"/>
        <w:keepNext w:val="0"/>
        <w:keepLines w:val="0"/>
        <w:widowControl w:val="0"/>
        <w:shd w:val="clear" w:color="auto" w:fill="auto"/>
        <w:bidi w:val="0"/>
        <w:spacing w:before="0" w:after="0" w:line="625"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十</w:t>
      </w:r>
      <w:r>
        <w:rPr>
          <w:rFonts w:hint="eastAsia" w:ascii="仿宋" w:hAnsi="仿宋" w:eastAsia="仿宋" w:cs="仿宋"/>
          <w:color w:val="000000"/>
          <w:spacing w:val="0"/>
          <w:w w:val="100"/>
          <w:position w:val="0"/>
          <w:sz w:val="32"/>
          <w:szCs w:val="32"/>
        </w:rPr>
        <w:t>、加快供水、供电接入服务，建设单位在工程设计方案稳定后，在办理建设工程规划许可时，</w:t>
      </w:r>
      <w:r>
        <w:rPr>
          <w:rFonts w:hint="eastAsia" w:ascii="仿宋" w:hAnsi="仿宋" w:eastAsia="仿宋" w:cs="仿宋"/>
          <w:color w:val="000000"/>
          <w:spacing w:val="0"/>
          <w:w w:val="100"/>
          <w:position w:val="0"/>
          <w:sz w:val="32"/>
          <w:szCs w:val="32"/>
          <w:lang w:val="en-US" w:eastAsia="zh-CN"/>
        </w:rPr>
        <w:t>将项目信息</w:t>
      </w:r>
      <w:r>
        <w:rPr>
          <w:rFonts w:hint="eastAsia" w:ascii="仿宋" w:hAnsi="仿宋" w:eastAsia="仿宋" w:cs="仿宋"/>
          <w:color w:val="000000"/>
          <w:spacing w:val="0"/>
          <w:w w:val="100"/>
          <w:position w:val="0"/>
          <w:sz w:val="32"/>
          <w:szCs w:val="32"/>
        </w:rPr>
        <w:t>向</w:t>
      </w:r>
      <w:r>
        <w:rPr>
          <w:rFonts w:hint="eastAsia" w:ascii="仿宋" w:hAnsi="仿宋" w:eastAsia="仿宋" w:cs="仿宋"/>
          <w:color w:val="000000"/>
          <w:spacing w:val="0"/>
          <w:w w:val="100"/>
          <w:position w:val="0"/>
          <w:sz w:val="32"/>
          <w:szCs w:val="32"/>
          <w:lang w:val="en-US" w:eastAsia="zh-CN"/>
        </w:rPr>
        <w:t>供水</w:t>
      </w:r>
      <w:r>
        <w:rPr>
          <w:rFonts w:hint="eastAsia" w:ascii="仿宋" w:hAnsi="仿宋" w:eastAsia="仿宋" w:cs="仿宋"/>
          <w:color w:val="000000"/>
          <w:spacing w:val="0"/>
          <w:w w:val="100"/>
          <w:position w:val="0"/>
          <w:sz w:val="32"/>
          <w:szCs w:val="32"/>
        </w:rPr>
        <w:t>、供电市政公用服务企业推送，由供水、供电等市政公用服务企业负责建设，规划红线范围外的管道敷设接驳费用由市、区财政支付，建设单位免于办理相应的行政许可手续。</w:t>
      </w:r>
    </w:p>
    <w:p>
      <w:pPr>
        <w:pStyle w:val="5"/>
        <w:keepNext w:val="0"/>
        <w:keepLines w:val="0"/>
        <w:widowControl w:val="0"/>
        <w:shd w:val="clear" w:color="auto" w:fill="auto"/>
        <w:bidi w:val="0"/>
        <w:spacing w:before="0" w:after="0" w:line="625" w:lineRule="exact"/>
        <w:ind w:left="0" w:right="0" w:firstLine="640"/>
        <w:jc w:val="both"/>
        <w:rPr>
          <w:rFonts w:hint="eastAsia" w:ascii="仿宋" w:hAnsi="仿宋" w:eastAsia="仿宋" w:cs="仿宋"/>
          <w:color w:val="FF0000"/>
          <w:sz w:val="32"/>
          <w:szCs w:val="32"/>
        </w:rPr>
      </w:pPr>
      <w:r>
        <w:rPr>
          <w:rFonts w:hint="eastAsia" w:ascii="仿宋" w:hAnsi="仿宋" w:eastAsia="仿宋" w:cs="仿宋"/>
          <w:color w:val="FF0000"/>
          <w:spacing w:val="0"/>
          <w:w w:val="100"/>
          <w:position w:val="0"/>
          <w:sz w:val="32"/>
          <w:szCs w:val="32"/>
          <w:lang w:val="en-US" w:eastAsia="zh-CN"/>
        </w:rPr>
        <w:t>十一</w:t>
      </w:r>
      <w:r>
        <w:rPr>
          <w:rFonts w:hint="eastAsia" w:ascii="仿宋" w:hAnsi="仿宋" w:eastAsia="仿宋" w:cs="仿宋"/>
          <w:color w:val="FF0000"/>
          <w:spacing w:val="0"/>
          <w:w w:val="100"/>
          <w:position w:val="0"/>
          <w:sz w:val="32"/>
          <w:szCs w:val="32"/>
        </w:rPr>
        <w:t>、市政公用服务企业办理以下范围内小型市政公用设施接入服务的，不需办理项目备案、规划、施工、占用挖掘道路、砍伐迁移树木等行政许可，施工方案稳定后推送</w:t>
      </w:r>
      <w:r>
        <w:rPr>
          <w:rFonts w:hint="eastAsia" w:ascii="仿宋" w:hAnsi="仿宋" w:eastAsia="仿宋" w:cs="仿宋"/>
          <w:color w:val="FF0000"/>
          <w:spacing w:val="0"/>
          <w:w w:val="100"/>
          <w:position w:val="0"/>
          <w:sz w:val="32"/>
          <w:szCs w:val="32"/>
          <w:lang w:val="en-US" w:eastAsia="zh-CN"/>
        </w:rPr>
        <w:t>规划</w:t>
      </w:r>
      <w:r>
        <w:rPr>
          <w:rFonts w:hint="eastAsia" w:ascii="仿宋" w:hAnsi="仿宋" w:eastAsia="仿宋" w:cs="仿宋"/>
          <w:color w:val="FF0000"/>
          <w:spacing w:val="0"/>
          <w:w w:val="100"/>
          <w:position w:val="0"/>
          <w:sz w:val="32"/>
          <w:szCs w:val="32"/>
        </w:rPr>
        <w:t>、交警、城管等部门</w:t>
      </w:r>
      <w:r>
        <w:rPr>
          <w:rFonts w:hint="eastAsia" w:ascii="仿宋" w:hAnsi="仿宋" w:eastAsia="仿宋" w:cs="仿宋"/>
          <w:color w:val="FF0000"/>
          <w:spacing w:val="0"/>
          <w:w w:val="100"/>
          <w:position w:val="0"/>
          <w:sz w:val="32"/>
          <w:szCs w:val="32"/>
          <w:lang w:val="en-US" w:eastAsia="zh-CN"/>
        </w:rPr>
        <w:t>报备</w:t>
      </w:r>
      <w:r>
        <w:rPr>
          <w:rFonts w:hint="eastAsia" w:ascii="仿宋" w:hAnsi="仿宋" w:eastAsia="仿宋" w:cs="仿宋"/>
          <w:color w:val="FF0000"/>
          <w:spacing w:val="0"/>
          <w:w w:val="100"/>
          <w:position w:val="0"/>
          <w:sz w:val="32"/>
          <w:szCs w:val="32"/>
        </w:rPr>
        <w:t>。达到接入条件后，市政公用服务企业应将相关信息推送</w:t>
      </w:r>
      <w:r>
        <w:rPr>
          <w:rFonts w:hint="eastAsia" w:ascii="仿宋" w:hAnsi="仿宋" w:eastAsia="仿宋" w:cs="仿宋"/>
          <w:color w:val="FF0000"/>
          <w:spacing w:val="0"/>
          <w:w w:val="100"/>
          <w:position w:val="0"/>
          <w:sz w:val="32"/>
          <w:szCs w:val="32"/>
          <w:lang w:val="en-US" w:eastAsia="zh-CN"/>
        </w:rPr>
        <w:t>城管</w:t>
      </w:r>
      <w:r>
        <w:rPr>
          <w:rFonts w:hint="eastAsia" w:ascii="仿宋" w:hAnsi="仿宋" w:eastAsia="仿宋" w:cs="仿宋"/>
          <w:color w:val="FF0000"/>
          <w:spacing w:val="0"/>
          <w:w w:val="100"/>
          <w:position w:val="0"/>
          <w:sz w:val="32"/>
          <w:szCs w:val="32"/>
        </w:rPr>
        <w:t>部门，并负责按标准恢复道路。</w:t>
      </w:r>
    </w:p>
    <w:p>
      <w:pPr>
        <w:pStyle w:val="5"/>
        <w:keepNext w:val="0"/>
        <w:keepLines w:val="0"/>
        <w:widowControl w:val="0"/>
        <w:shd w:val="clear" w:color="auto" w:fill="auto"/>
        <w:bidi w:val="0"/>
        <w:spacing w:before="0" w:after="0" w:line="630"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小型市政公用设施范围：</w:t>
      </w:r>
    </w:p>
    <w:p>
      <w:pPr>
        <w:pStyle w:val="5"/>
        <w:keepNext w:val="0"/>
        <w:keepLines w:val="0"/>
        <w:widowControl w:val="0"/>
        <w:numPr>
          <w:ilvl w:val="0"/>
          <w:numId w:val="1"/>
        </w:numPr>
        <w:shd w:val="clear" w:color="auto" w:fill="auto"/>
        <w:tabs>
          <w:tab w:val="left" w:pos="996"/>
        </w:tabs>
        <w:bidi w:val="0"/>
        <w:spacing w:before="0" w:after="0" w:line="630" w:lineRule="exact"/>
        <w:ind w:left="0" w:right="0" w:firstLine="640"/>
        <w:jc w:val="both"/>
        <w:rPr>
          <w:rFonts w:hint="eastAsia" w:ascii="仿宋" w:hAnsi="仿宋" w:eastAsia="仿宋" w:cs="仿宋"/>
          <w:sz w:val="32"/>
          <w:szCs w:val="32"/>
        </w:rPr>
      </w:pPr>
      <w:bookmarkStart w:id="8" w:name="bookmark15"/>
      <w:bookmarkEnd w:id="8"/>
      <w:r>
        <w:rPr>
          <w:rFonts w:hint="eastAsia" w:ascii="仿宋" w:hAnsi="仿宋" w:eastAsia="仿宋" w:cs="仿宋"/>
          <w:color w:val="000000"/>
          <w:spacing w:val="0"/>
          <w:w w:val="100"/>
          <w:position w:val="0"/>
          <w:sz w:val="32"/>
          <w:szCs w:val="32"/>
        </w:rPr>
        <w:t>供水：连接水管的直径不大于4厘米，距离现有水源和下水道接口不大于150米。</w:t>
      </w:r>
    </w:p>
    <w:p>
      <w:pPr>
        <w:pStyle w:val="5"/>
        <w:keepNext w:val="0"/>
        <w:keepLines w:val="0"/>
        <w:widowControl w:val="0"/>
        <w:numPr>
          <w:ilvl w:val="0"/>
          <w:numId w:val="1"/>
        </w:numPr>
        <w:shd w:val="clear" w:color="auto" w:fill="auto"/>
        <w:tabs>
          <w:tab w:val="left" w:pos="988"/>
        </w:tabs>
        <w:bidi w:val="0"/>
        <w:spacing w:before="0" w:after="60" w:line="630" w:lineRule="exact"/>
        <w:ind w:left="0" w:right="0" w:firstLine="640"/>
        <w:jc w:val="both"/>
        <w:rPr>
          <w:rFonts w:hint="eastAsia" w:ascii="仿宋" w:hAnsi="仿宋" w:eastAsia="仿宋" w:cs="仿宋"/>
          <w:sz w:val="32"/>
          <w:szCs w:val="32"/>
        </w:rPr>
      </w:pPr>
      <w:bookmarkStart w:id="9" w:name="bookmark16"/>
      <w:bookmarkEnd w:id="9"/>
      <w:r>
        <w:rPr>
          <w:rFonts w:hint="eastAsia" w:ascii="仿宋" w:hAnsi="仿宋" w:eastAsia="仿宋" w:cs="仿宋"/>
          <w:color w:val="000000"/>
          <w:spacing w:val="0"/>
          <w:w w:val="100"/>
          <w:position w:val="0"/>
          <w:sz w:val="32"/>
          <w:szCs w:val="32"/>
        </w:rPr>
        <w:t>排水：日排水量不大于50吨，连接水管的直径不大于50厘米。距离现有水源和下水道接口不大于150米。</w:t>
      </w:r>
    </w:p>
    <w:p>
      <w:pPr>
        <w:pStyle w:val="5"/>
        <w:keepNext w:val="0"/>
        <w:keepLines w:val="0"/>
        <w:widowControl w:val="0"/>
        <w:numPr>
          <w:ilvl w:val="0"/>
          <w:numId w:val="1"/>
        </w:numPr>
        <w:shd w:val="clear" w:color="auto" w:fill="auto"/>
        <w:tabs>
          <w:tab w:val="left" w:pos="1003"/>
        </w:tabs>
        <w:bidi w:val="0"/>
        <w:spacing w:before="0" w:after="0" w:line="598" w:lineRule="exact"/>
        <w:ind w:left="0" w:right="0" w:firstLine="640"/>
        <w:jc w:val="both"/>
        <w:rPr>
          <w:rFonts w:hint="eastAsia" w:ascii="仿宋" w:hAnsi="仿宋" w:eastAsia="仿宋" w:cs="仿宋"/>
          <w:sz w:val="32"/>
          <w:szCs w:val="32"/>
        </w:rPr>
      </w:pPr>
      <w:bookmarkStart w:id="10" w:name="bookmark17"/>
      <w:bookmarkEnd w:id="10"/>
      <w:r>
        <w:rPr>
          <w:rFonts w:hint="eastAsia" w:ascii="仿宋" w:hAnsi="仿宋" w:eastAsia="仿宋" w:cs="仿宋"/>
          <w:color w:val="000000"/>
          <w:spacing w:val="0"/>
          <w:w w:val="100"/>
          <w:position w:val="0"/>
          <w:sz w:val="32"/>
          <w:szCs w:val="32"/>
        </w:rPr>
        <w:t>供电：电压等级在10千伏以下（不含10千伏），报装容量不大于200千瓦，管线长度不大于200米。</w:t>
      </w:r>
    </w:p>
    <w:p>
      <w:pPr>
        <w:pStyle w:val="5"/>
        <w:keepNext w:val="0"/>
        <w:keepLines w:val="0"/>
        <w:widowControl w:val="0"/>
        <w:shd w:val="clear" w:color="auto" w:fill="auto"/>
        <w:bidi w:val="0"/>
        <w:spacing w:before="0" w:after="0" w:line="626"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w:t>
      </w:r>
      <w:r>
        <w:rPr>
          <w:rFonts w:hint="eastAsia" w:ascii="仿宋" w:hAnsi="仿宋" w:eastAsia="仿宋" w:cs="仿宋"/>
          <w:color w:val="000000"/>
          <w:spacing w:val="0"/>
          <w:w w:val="100"/>
          <w:position w:val="0"/>
          <w:sz w:val="32"/>
          <w:szCs w:val="32"/>
          <w:lang w:val="en-US" w:eastAsia="zh-CN"/>
        </w:rPr>
        <w:t>二</w:t>
      </w:r>
      <w:r>
        <w:rPr>
          <w:rFonts w:hint="eastAsia" w:ascii="仿宋" w:hAnsi="仿宋" w:eastAsia="仿宋" w:cs="仿宋"/>
          <w:color w:val="000000"/>
          <w:spacing w:val="0"/>
          <w:w w:val="100"/>
          <w:position w:val="0"/>
          <w:sz w:val="32"/>
          <w:szCs w:val="32"/>
        </w:rPr>
        <w:t>、优化工程质量安全监管模式。针对社会投资简易低风险工程建设项目，质量安全监督机构在项目建设至主体结构封顶后、装饰装修施工前实行一次定期监督检查，重点检查参建单位开展质量安全风险技术检查的情况、施工图设计文件审查意见修改情况等，检查结果计入各参建单位和相关人员的信用信息档案。</w:t>
      </w:r>
    </w:p>
    <w:p>
      <w:pPr>
        <w:pStyle w:val="5"/>
        <w:keepNext w:val="0"/>
        <w:keepLines w:val="0"/>
        <w:widowControl w:val="0"/>
        <w:shd w:val="clear" w:color="auto" w:fill="auto"/>
        <w:bidi w:val="0"/>
        <w:spacing w:before="0" w:after="0" w:line="626"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w:t>
      </w:r>
      <w:r>
        <w:rPr>
          <w:rFonts w:hint="eastAsia" w:ascii="仿宋" w:hAnsi="仿宋" w:eastAsia="仿宋" w:cs="仿宋"/>
          <w:color w:val="000000"/>
          <w:spacing w:val="0"/>
          <w:w w:val="100"/>
          <w:position w:val="0"/>
          <w:sz w:val="32"/>
          <w:szCs w:val="32"/>
          <w:lang w:val="en-US" w:eastAsia="zh-CN"/>
        </w:rPr>
        <w:t>三</w:t>
      </w:r>
      <w:r>
        <w:rPr>
          <w:rFonts w:hint="eastAsia" w:ascii="仿宋" w:hAnsi="仿宋" w:eastAsia="仿宋" w:cs="仿宋"/>
          <w:color w:val="000000"/>
          <w:spacing w:val="0"/>
          <w:w w:val="100"/>
          <w:position w:val="0"/>
          <w:sz w:val="32"/>
          <w:szCs w:val="32"/>
        </w:rPr>
        <w:t>、严格落实联合验收制度。住房城乡建设、自然资源规划</w:t>
      </w:r>
      <w:r>
        <w:rPr>
          <w:rFonts w:hint="eastAsia" w:ascii="仿宋" w:hAnsi="仿宋" w:eastAsia="仿宋" w:cs="仿宋"/>
          <w:color w:val="000000"/>
          <w:spacing w:val="0"/>
          <w:w w:val="100"/>
          <w:position w:val="0"/>
          <w:sz w:val="32"/>
          <w:szCs w:val="32"/>
          <w:lang w:val="en-US" w:eastAsia="zh-CN"/>
        </w:rPr>
        <w:t>等</w:t>
      </w:r>
      <w:r>
        <w:rPr>
          <w:rFonts w:hint="eastAsia" w:ascii="仿宋" w:hAnsi="仿宋" w:eastAsia="仿宋" w:cs="仿宋"/>
          <w:color w:val="000000"/>
          <w:spacing w:val="0"/>
          <w:w w:val="100"/>
          <w:position w:val="0"/>
          <w:sz w:val="32"/>
          <w:szCs w:val="32"/>
        </w:rPr>
        <w:t>部门的政府验收和五方责任主体竣工验收（建设、勘察、设计、施工、监理单位）在联合验收中一次性完成，时间压缩至5个工作日。联合验收通过后，同步发放工程竣工验收备案文件。</w:t>
      </w:r>
      <w:r>
        <w:rPr>
          <w:rFonts w:hint="eastAsia" w:ascii="仿宋" w:hAnsi="仿宋" w:eastAsia="仿宋" w:cs="仿宋"/>
          <w:color w:val="000000"/>
          <w:spacing w:val="0"/>
          <w:w w:val="100"/>
          <w:position w:val="0"/>
          <w:sz w:val="32"/>
          <w:szCs w:val="32"/>
          <w:lang w:val="en-US" w:eastAsia="zh-CN"/>
        </w:rPr>
        <w:t>竣工验收备案信息</w:t>
      </w:r>
      <w:r>
        <w:rPr>
          <w:rFonts w:hint="eastAsia" w:ascii="仿宋" w:hAnsi="仿宋" w:eastAsia="仿宋" w:cs="仿宋"/>
          <w:color w:val="000000"/>
          <w:spacing w:val="0"/>
          <w:w w:val="100"/>
          <w:position w:val="0"/>
          <w:sz w:val="32"/>
          <w:szCs w:val="32"/>
        </w:rPr>
        <w:t>实时推送不动产登记中心。</w:t>
      </w:r>
    </w:p>
    <w:p>
      <w:pPr>
        <w:pStyle w:val="5"/>
        <w:keepNext w:val="0"/>
        <w:keepLines w:val="0"/>
        <w:widowControl w:val="0"/>
        <w:shd w:val="clear" w:color="auto" w:fill="auto"/>
        <w:bidi w:val="0"/>
        <w:spacing w:before="0" w:after="0" w:line="623"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w:t>
      </w:r>
      <w:r>
        <w:rPr>
          <w:rFonts w:hint="eastAsia" w:ascii="仿宋" w:hAnsi="仿宋" w:eastAsia="仿宋" w:cs="仿宋"/>
          <w:color w:val="000000"/>
          <w:spacing w:val="0"/>
          <w:w w:val="100"/>
          <w:position w:val="0"/>
          <w:sz w:val="32"/>
          <w:szCs w:val="32"/>
          <w:lang w:val="en-US" w:eastAsia="zh-CN"/>
        </w:rPr>
        <w:t>四</w:t>
      </w:r>
      <w:r>
        <w:rPr>
          <w:rFonts w:hint="eastAsia" w:ascii="仿宋" w:hAnsi="仿宋" w:eastAsia="仿宋" w:cs="仿宋"/>
          <w:color w:val="000000"/>
          <w:spacing w:val="0"/>
          <w:w w:val="100"/>
          <w:position w:val="0"/>
          <w:sz w:val="32"/>
          <w:szCs w:val="32"/>
        </w:rPr>
        <w:t>、简化简易低风险工程建设项目的不动产登记程序，企业持相关申请材料，直接申请办理不动产国有建设用地使用权及房屋所有权登记，1个工作日内办结，免收登记费和工本费。</w:t>
      </w:r>
    </w:p>
    <w:p>
      <w:pPr>
        <w:pStyle w:val="5"/>
        <w:keepNext w:val="0"/>
        <w:keepLines w:val="0"/>
        <w:widowControl w:val="0"/>
        <w:shd w:val="clear" w:color="auto" w:fill="auto"/>
        <w:bidi w:val="0"/>
        <w:spacing w:before="0" w:after="0" w:line="623" w:lineRule="exact"/>
        <w:ind w:left="0" w:right="0" w:firstLine="640"/>
        <w:jc w:val="both"/>
        <w:rPr>
          <w:rFonts w:hint="eastAsia" w:ascii="仿宋" w:hAnsi="仿宋" w:eastAsia="仿宋" w:cs="仿宋"/>
          <w:sz w:val="32"/>
          <w:szCs w:val="32"/>
        </w:rPr>
        <w:sectPr>
          <w:footnotePr>
            <w:numFmt w:val="decimal"/>
          </w:footnotePr>
          <w:pgSz w:w="11900" w:h="16840"/>
          <w:pgMar w:top="1155" w:right="1393" w:bottom="1574" w:left="1436" w:header="0" w:footer="3" w:gutter="0"/>
          <w:cols w:space="720" w:num="1"/>
          <w:rtlGutter w:val="0"/>
          <w:docGrid w:linePitch="360" w:charSpace="0"/>
        </w:sectPr>
      </w:pPr>
      <w:r>
        <w:rPr>
          <w:rFonts w:hint="eastAsia" w:ascii="仿宋" w:hAnsi="仿宋" w:eastAsia="仿宋" w:cs="仿宋"/>
          <w:color w:val="000000"/>
          <w:spacing w:val="0"/>
          <w:w w:val="100"/>
          <w:position w:val="0"/>
          <w:sz w:val="32"/>
          <w:szCs w:val="32"/>
        </w:rPr>
        <w:t>十</w:t>
      </w:r>
      <w:r>
        <w:rPr>
          <w:rFonts w:hint="eastAsia" w:ascii="仿宋" w:hAnsi="仿宋" w:eastAsia="仿宋" w:cs="仿宋"/>
          <w:color w:val="000000"/>
          <w:spacing w:val="0"/>
          <w:w w:val="100"/>
          <w:position w:val="0"/>
          <w:sz w:val="32"/>
          <w:szCs w:val="32"/>
          <w:lang w:val="en-US" w:eastAsia="zh-CN"/>
        </w:rPr>
        <w:t>五</w:t>
      </w:r>
      <w:r>
        <w:rPr>
          <w:rFonts w:hint="eastAsia" w:ascii="仿宋" w:hAnsi="仿宋" w:eastAsia="仿宋" w:cs="仿宋"/>
          <w:color w:val="000000"/>
          <w:spacing w:val="0"/>
          <w:w w:val="100"/>
          <w:position w:val="0"/>
          <w:sz w:val="32"/>
          <w:szCs w:val="32"/>
        </w:rPr>
        <w:t>、开展工程质量潜在缺陷责任保险试点工作，建设单位可通过购买工程质量潜在缺陷责任保险（或类似保险产品）的方式，防范和化解工程质量风险，保证工程质量，保障工程所有人权益。</w:t>
      </w:r>
    </w:p>
    <w:p>
      <w:pPr>
        <w:pStyle w:val="7"/>
        <w:keepNext/>
        <w:keepLines/>
        <w:widowControl w:val="0"/>
        <w:shd w:val="clear" w:color="auto" w:fill="auto"/>
        <w:bidi w:val="0"/>
        <w:spacing w:before="0" w:after="160" w:line="240" w:lineRule="auto"/>
        <w:ind w:left="0" w:right="0" w:firstLine="0"/>
        <w:jc w:val="center"/>
        <w:rPr>
          <w:rFonts w:hint="eastAsia"/>
          <w:b w:val="0"/>
          <w:bCs w:val="0"/>
          <w:i w:val="0"/>
          <w:iCs w:val="0"/>
          <w:smallCaps w:val="0"/>
          <w:strike w:val="0"/>
          <w:color w:val="000000"/>
          <w:spacing w:val="0"/>
          <w:w w:val="100"/>
          <w:position w:val="0"/>
        </w:rPr>
      </w:pPr>
      <w:bookmarkStart w:id="11" w:name="bookmark20"/>
      <w:bookmarkStart w:id="12" w:name="bookmark18"/>
      <w:bookmarkStart w:id="13" w:name="bookmark19"/>
      <w:r>
        <w:rPr>
          <w:rFonts w:hint="eastAsia"/>
          <w:b w:val="0"/>
          <w:bCs w:val="0"/>
          <w:i w:val="0"/>
          <w:iCs w:val="0"/>
          <w:smallCaps w:val="0"/>
          <w:strike w:val="0"/>
          <w:color w:val="000000"/>
          <w:spacing w:val="0"/>
          <w:w w:val="100"/>
          <w:position w:val="0"/>
          <w:lang w:val="en-US" w:eastAsia="zh-CN"/>
        </w:rPr>
        <w:t xml:space="preserve">附件1     </w:t>
      </w:r>
      <w:r>
        <w:rPr>
          <w:rFonts w:hint="eastAsia"/>
          <w:b w:val="0"/>
          <w:bCs w:val="0"/>
          <w:i w:val="0"/>
          <w:iCs w:val="0"/>
          <w:smallCaps w:val="0"/>
          <w:strike w:val="0"/>
          <w:color w:val="000000"/>
          <w:spacing w:val="0"/>
          <w:w w:val="100"/>
          <w:position w:val="0"/>
        </w:rPr>
        <w:t>社会投资简易低风险工程建设项目清单</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3100"/>
        <w:gridCol w:w="4351"/>
        <w:gridCol w:w="2014"/>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0" w:type="pct"/>
            <w:vAlign w:val="center"/>
          </w:tcPr>
          <w:p>
            <w:pPr>
              <w:spacing w:line="500" w:lineRule="exact"/>
              <w:jc w:val="center"/>
              <w:rPr>
                <w:rFonts w:eastAsia="黑体"/>
                <w:szCs w:val="32"/>
              </w:rPr>
            </w:pPr>
            <w:r>
              <w:rPr>
                <w:rFonts w:eastAsia="黑体"/>
                <w:szCs w:val="32"/>
              </w:rPr>
              <w:t>建筑物性质</w:t>
            </w:r>
          </w:p>
        </w:tc>
        <w:tc>
          <w:tcPr>
            <w:tcW w:w="1105" w:type="pct"/>
            <w:vAlign w:val="center"/>
          </w:tcPr>
          <w:p>
            <w:pPr>
              <w:spacing w:line="500" w:lineRule="exact"/>
              <w:jc w:val="center"/>
              <w:rPr>
                <w:rFonts w:eastAsia="黑体"/>
                <w:szCs w:val="32"/>
              </w:rPr>
            </w:pPr>
            <w:r>
              <w:rPr>
                <w:rFonts w:eastAsia="黑体"/>
                <w:szCs w:val="32"/>
              </w:rPr>
              <w:t>用途限定条件</w:t>
            </w:r>
          </w:p>
        </w:tc>
        <w:tc>
          <w:tcPr>
            <w:tcW w:w="1551" w:type="pct"/>
            <w:vAlign w:val="center"/>
          </w:tcPr>
          <w:p>
            <w:pPr>
              <w:spacing w:line="500" w:lineRule="exact"/>
              <w:jc w:val="center"/>
              <w:rPr>
                <w:rFonts w:eastAsia="黑体"/>
                <w:szCs w:val="32"/>
              </w:rPr>
            </w:pPr>
            <w:r>
              <w:rPr>
                <w:rFonts w:eastAsia="黑体"/>
                <w:szCs w:val="32"/>
              </w:rPr>
              <w:t>位</w:t>
            </w:r>
            <w:r>
              <w:rPr>
                <w:rFonts w:hint="eastAsia" w:eastAsia="黑体"/>
                <w:szCs w:val="32"/>
              </w:rPr>
              <w:t xml:space="preserve">   </w:t>
            </w:r>
            <w:r>
              <w:rPr>
                <w:rFonts w:eastAsia="黑体"/>
                <w:szCs w:val="32"/>
              </w:rPr>
              <w:t>置</w:t>
            </w:r>
          </w:p>
        </w:tc>
        <w:tc>
          <w:tcPr>
            <w:tcW w:w="718" w:type="pct"/>
            <w:vAlign w:val="center"/>
          </w:tcPr>
          <w:p>
            <w:pPr>
              <w:spacing w:line="500" w:lineRule="exact"/>
              <w:jc w:val="center"/>
              <w:rPr>
                <w:rFonts w:eastAsia="黑体"/>
                <w:szCs w:val="32"/>
              </w:rPr>
            </w:pPr>
            <w:r>
              <w:rPr>
                <w:rFonts w:eastAsia="黑体"/>
                <w:szCs w:val="32"/>
              </w:rPr>
              <w:t>结构层次要求</w:t>
            </w:r>
          </w:p>
        </w:tc>
        <w:tc>
          <w:tcPr>
            <w:tcW w:w="814" w:type="pct"/>
            <w:vAlign w:val="center"/>
          </w:tcPr>
          <w:p>
            <w:pPr>
              <w:spacing w:line="500" w:lineRule="exact"/>
              <w:jc w:val="center"/>
              <w:rPr>
                <w:rFonts w:eastAsia="黑体"/>
                <w:szCs w:val="32"/>
              </w:rPr>
            </w:pPr>
            <w:r>
              <w:rPr>
                <w:rFonts w:eastAsia="黑体"/>
                <w:szCs w:val="32"/>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0" w:type="pct"/>
            <w:vAlign w:val="center"/>
          </w:tcPr>
          <w:p>
            <w:pPr>
              <w:spacing w:line="500" w:lineRule="exact"/>
              <w:jc w:val="center"/>
              <w:rPr>
                <w:sz w:val="24"/>
              </w:rPr>
            </w:pPr>
            <w:r>
              <w:rPr>
                <w:sz w:val="24"/>
              </w:rPr>
              <w:t>办公</w:t>
            </w:r>
          </w:p>
        </w:tc>
        <w:tc>
          <w:tcPr>
            <w:tcW w:w="1105" w:type="pct"/>
            <w:vAlign w:val="center"/>
          </w:tcPr>
          <w:p>
            <w:pPr>
              <w:spacing w:line="500" w:lineRule="exact"/>
              <w:jc w:val="center"/>
              <w:rPr>
                <w:sz w:val="24"/>
              </w:rPr>
            </w:pPr>
            <w:r>
              <w:rPr>
                <w:sz w:val="24"/>
              </w:rPr>
              <w:t>未设置化学或生物实验室</w:t>
            </w:r>
          </w:p>
        </w:tc>
        <w:tc>
          <w:tcPr>
            <w:tcW w:w="1551" w:type="pct"/>
            <w:vMerge w:val="restart"/>
            <w:vAlign w:val="center"/>
          </w:tcPr>
          <w:p>
            <w:pPr>
              <w:spacing w:line="500" w:lineRule="exact"/>
              <w:rPr>
                <w:sz w:val="24"/>
              </w:rPr>
            </w:pPr>
            <w:r>
              <w:rPr>
                <w:sz w:val="24"/>
              </w:rPr>
              <w:t>位于规划城乡建设用地内，市政官网配套健全，管线接入不需要破坏城市主、次干道车行道或快速路；未位于文物保护范围、地下文物埋藏区、《建设项目环境影响评价分类管理名录》确定的环境敏感区；未位于历史建筑保护区、历史文化街区保护区、传统村落保护区，未位于城市重点地段，未位于纪念性、标志性建筑保护范围，未位于城市重要节点；未位于用途变更为公共</w:t>
            </w:r>
            <w:r>
              <w:rPr>
                <w:spacing w:val="-4"/>
                <w:sz w:val="24"/>
              </w:rPr>
              <w:t>服务用地的污染地块区域；且未位于机要单位和名木古树30米范围内</w:t>
            </w:r>
          </w:p>
        </w:tc>
        <w:tc>
          <w:tcPr>
            <w:tcW w:w="718" w:type="pct"/>
            <w:vMerge w:val="restart"/>
            <w:vAlign w:val="center"/>
          </w:tcPr>
          <w:p>
            <w:pPr>
              <w:spacing w:line="500" w:lineRule="exact"/>
              <w:jc w:val="center"/>
              <w:rPr>
                <w:sz w:val="24"/>
              </w:rPr>
            </w:pPr>
            <w:r>
              <w:rPr>
                <w:sz w:val="24"/>
              </w:rPr>
              <w:t>现浇混凝土结构或砌体结构的单层或</w:t>
            </w:r>
            <w:bookmarkStart w:id="14" w:name="_GoBack"/>
            <w:bookmarkEnd w:id="14"/>
            <w:r>
              <w:rPr>
                <w:sz w:val="24"/>
              </w:rPr>
              <w:t>多层建筑</w:t>
            </w:r>
          </w:p>
        </w:tc>
        <w:tc>
          <w:tcPr>
            <w:tcW w:w="814" w:type="pct"/>
            <w:vMerge w:val="restart"/>
            <w:vAlign w:val="center"/>
          </w:tcPr>
          <w:p>
            <w:pPr>
              <w:spacing w:line="500" w:lineRule="exact"/>
              <w:jc w:val="center"/>
              <w:rPr>
                <w:sz w:val="24"/>
              </w:rPr>
            </w:pPr>
            <w:r>
              <w:rPr>
                <w:sz w:val="24"/>
              </w:rPr>
              <w:t>总建筑面积不大于3000平方米，其中地下建筑面积不大于1000平方米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7" w:hRule="atLeast"/>
          <w:jc w:val="center"/>
        </w:trPr>
        <w:tc>
          <w:tcPr>
            <w:tcW w:w="810" w:type="pct"/>
            <w:vAlign w:val="center"/>
          </w:tcPr>
          <w:p>
            <w:pPr>
              <w:spacing w:line="500" w:lineRule="exact"/>
              <w:jc w:val="center"/>
              <w:rPr>
                <w:sz w:val="24"/>
              </w:rPr>
            </w:pPr>
            <w:r>
              <w:rPr>
                <w:sz w:val="24"/>
              </w:rPr>
              <w:t>仓库、厂房</w:t>
            </w:r>
          </w:p>
        </w:tc>
        <w:tc>
          <w:tcPr>
            <w:tcW w:w="1105" w:type="pct"/>
            <w:vAlign w:val="center"/>
          </w:tcPr>
          <w:p>
            <w:pPr>
              <w:spacing w:line="500" w:lineRule="exact"/>
              <w:jc w:val="center"/>
              <w:rPr>
                <w:sz w:val="24"/>
              </w:rPr>
            </w:pPr>
            <w:r>
              <w:rPr>
                <w:sz w:val="24"/>
              </w:rPr>
              <w:t>不存放易燃、易爆、有毒、有害物品或危险品</w:t>
            </w:r>
          </w:p>
        </w:tc>
        <w:tc>
          <w:tcPr>
            <w:tcW w:w="1551" w:type="pct"/>
            <w:vMerge w:val="continue"/>
            <w:vAlign w:val="center"/>
          </w:tcPr>
          <w:p>
            <w:pPr>
              <w:spacing w:line="500" w:lineRule="exact"/>
              <w:jc w:val="center"/>
              <w:rPr>
                <w:sz w:val="24"/>
              </w:rPr>
            </w:pPr>
          </w:p>
        </w:tc>
        <w:tc>
          <w:tcPr>
            <w:tcW w:w="718" w:type="pct"/>
            <w:vMerge w:val="continue"/>
            <w:vAlign w:val="center"/>
          </w:tcPr>
          <w:p>
            <w:pPr>
              <w:spacing w:line="500" w:lineRule="exact"/>
              <w:jc w:val="center"/>
              <w:rPr>
                <w:sz w:val="24"/>
              </w:rPr>
            </w:pPr>
          </w:p>
        </w:tc>
        <w:tc>
          <w:tcPr>
            <w:tcW w:w="814" w:type="pct"/>
            <w:vMerge w:val="continue"/>
            <w:vAlign w:val="center"/>
          </w:tcPr>
          <w:p>
            <w:pPr>
              <w:spacing w:line="500" w:lineRule="exact"/>
              <w:jc w:val="center"/>
              <w:rPr>
                <w:sz w:val="24"/>
              </w:rPr>
            </w:pPr>
          </w:p>
        </w:tc>
      </w:tr>
    </w:tbl>
    <w:p>
      <w:pPr>
        <w:pStyle w:val="7"/>
        <w:keepNext/>
        <w:keepLines/>
        <w:pageBreakBefore w:val="0"/>
        <w:widowControl w:val="0"/>
        <w:shd w:val="clear" w:color="auto" w:fill="auto"/>
        <w:kinsoku/>
        <w:wordWrap/>
        <w:overflowPunct/>
        <w:topLinePunct w:val="0"/>
        <w:autoSpaceDE/>
        <w:autoSpaceDN/>
        <w:bidi w:val="0"/>
        <w:adjustRightInd/>
        <w:snapToGrid/>
        <w:spacing w:before="0" w:after="160" w:line="240" w:lineRule="auto"/>
        <w:ind w:left="0" w:right="0" w:firstLine="0"/>
        <w:jc w:val="center"/>
        <w:textAlignment w:val="auto"/>
        <w:rPr>
          <w:rFonts w:hint="eastAsia"/>
          <w:color w:val="000000"/>
          <w:spacing w:val="0"/>
          <w:w w:val="100"/>
          <w:position w:val="0"/>
          <w:lang w:val="en-US" w:eastAsia="zh-CN"/>
        </w:rPr>
        <w:sectPr>
          <w:footnotePr>
            <w:numFmt w:val="decimal"/>
          </w:footnotePr>
          <w:pgSz w:w="16838" w:h="11905" w:orient="landscape"/>
          <w:pgMar w:top="1701" w:right="1752" w:bottom="2268" w:left="1276" w:header="0" w:footer="6" w:gutter="0"/>
          <w:cols w:space="0" w:num="1"/>
          <w:rtlGutter w:val="0"/>
          <w:docGrid w:linePitch="360" w:charSpace="0"/>
        </w:sectPr>
      </w:pPr>
    </w:p>
    <w:p>
      <w:pPr>
        <w:pStyle w:val="7"/>
        <w:keepNext/>
        <w:keepLines/>
        <w:pageBreakBefore/>
        <w:widowControl w:val="0"/>
        <w:shd w:val="clear" w:color="auto" w:fill="auto"/>
        <w:kinsoku/>
        <w:wordWrap/>
        <w:overflowPunct/>
        <w:topLinePunct w:val="0"/>
        <w:autoSpaceDE/>
        <w:autoSpaceDN/>
        <w:bidi w:val="0"/>
        <w:adjustRightInd/>
        <w:snapToGrid/>
        <w:spacing w:before="0" w:after="160" w:line="240" w:lineRule="auto"/>
        <w:ind w:left="0" w:right="0" w:firstLine="0"/>
        <w:jc w:val="center"/>
        <w:textAlignment w:val="auto"/>
      </w:pPr>
      <w:r>
        <w:rPr>
          <w:rFonts w:hint="eastAsia"/>
          <w:color w:val="000000"/>
          <w:spacing w:val="0"/>
          <w:w w:val="100"/>
          <w:position w:val="0"/>
          <w:lang w:val="en-US" w:eastAsia="zh-CN"/>
        </w:rPr>
        <w:t xml:space="preserve">附件2      </w:t>
      </w:r>
      <w:r>
        <w:rPr>
          <w:color w:val="000000"/>
          <w:spacing w:val="0"/>
          <w:w w:val="100"/>
          <w:position w:val="0"/>
        </w:rPr>
        <w:t>简易低风险</w:t>
      </w:r>
      <w:r>
        <w:rPr>
          <w:rFonts w:hint="eastAsia"/>
          <w:color w:val="000000"/>
          <w:spacing w:val="0"/>
          <w:w w:val="100"/>
          <w:position w:val="0"/>
          <w:lang w:val="en-US" w:eastAsia="zh-CN"/>
        </w:rPr>
        <w:t>项目</w:t>
      </w:r>
      <w:r>
        <w:rPr>
          <w:color w:val="000000"/>
          <w:spacing w:val="0"/>
          <w:w w:val="100"/>
          <w:position w:val="0"/>
        </w:rPr>
        <w:t>优化审批服务措施一览表</w:t>
      </w:r>
      <w:bookmarkEnd w:id="11"/>
      <w:bookmarkEnd w:id="12"/>
      <w:bookmarkEnd w:id="13"/>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96"/>
        <w:gridCol w:w="1973"/>
        <w:gridCol w:w="12809"/>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exact"/>
          <w:jc w:val="center"/>
        </w:trPr>
        <w:tc>
          <w:tcPr>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序号</w:t>
            </w:r>
          </w:p>
        </w:tc>
        <w:tc>
          <w:tcPr>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类别</w:t>
            </w:r>
          </w:p>
        </w:tc>
        <w:tc>
          <w:tcPr>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具体内容</w:t>
            </w:r>
          </w:p>
        </w:tc>
        <w:tc>
          <w:tcPr>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0" w:hRule="exact"/>
          <w:jc w:val="center"/>
        </w:trPr>
        <w:tc>
          <w:tcPr>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32"/>
                <w:szCs w:val="32"/>
              </w:rPr>
            </w:pPr>
            <w:r>
              <w:rPr>
                <w:rFonts w:ascii="Times New Roman" w:hAnsi="Times New Roman" w:eastAsia="Times New Roman" w:cs="Times New Roman"/>
                <w:color w:val="000000"/>
                <w:spacing w:val="0"/>
                <w:w w:val="100"/>
                <w:position w:val="0"/>
                <w:sz w:val="32"/>
                <w:szCs w:val="32"/>
              </w:rPr>
              <w:t>1</w:t>
            </w:r>
          </w:p>
        </w:tc>
        <w:tc>
          <w:tcPr>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color w:val="000000"/>
                <w:spacing w:val="0"/>
                <w:w w:val="100"/>
                <w:position w:val="0"/>
              </w:rPr>
              <w:t>适用范围</w:t>
            </w:r>
          </w:p>
        </w:tc>
        <w:tc>
          <w:tcPr>
            <w:shd w:val="clear" w:color="auto" w:fill="FFFFFF"/>
            <w:vAlign w:val="center"/>
          </w:tcPr>
          <w:p>
            <w:pPr>
              <w:pStyle w:val="8"/>
              <w:keepNext w:val="0"/>
              <w:keepLines w:val="0"/>
              <w:widowControl w:val="0"/>
              <w:shd w:val="clear" w:color="auto" w:fill="auto"/>
              <w:bidi w:val="0"/>
              <w:spacing w:before="0" w:after="0" w:line="605" w:lineRule="exact"/>
              <w:ind w:left="0" w:right="0" w:firstLine="0"/>
              <w:jc w:val="both"/>
            </w:pPr>
            <w:r>
              <w:rPr>
                <w:color w:val="000000"/>
                <w:spacing w:val="0"/>
                <w:w w:val="100"/>
                <w:position w:val="0"/>
              </w:rPr>
              <w:t>社会投资简易低风险工程建设项目是指：</w:t>
            </w:r>
            <w:r>
              <w:rPr>
                <w:rFonts w:hint="eastAsia"/>
                <w:color w:val="000000"/>
                <w:spacing w:val="0"/>
                <w:w w:val="100"/>
                <w:position w:val="0"/>
              </w:rPr>
              <w:t>项目总建筑面积不大于3000平方米、其中地下建筑面积不大于1000平方米，建筑高度不大于24米，功能单一、技术要求简单的办公、普通仓库和厂房等社会投资项目，且不生产、储存、使用易燃、易爆、有毒、有害物品或危险品。对关系国家安全、涉及重大生产力布局、战略性资源开发和重大公共利益等项目，以及涉及易燃易爆、有毒有害等安全保护项目、涉及生态环境影响大的项目、涉及历史建筑保护、历史文化街区保护、传统村落保护项目、涉及城市重点地段项目、涉及纪念性、标志性或处于城市重要节点的项目、涉及防洪安全项目、涉及风貌保护、轨道交通保护等特定区域的项目除外。</w:t>
            </w:r>
          </w:p>
        </w:tc>
        <w:tc>
          <w:tcPr>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pPr>
            <w:r>
              <w:rPr>
                <w:color w:val="000000"/>
                <w:spacing w:val="0"/>
                <w:w w:val="100"/>
                <w:position w:val="0"/>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3" w:hRule="exact"/>
          <w:jc w:val="center"/>
        </w:trPr>
        <w:tc>
          <w:tcPr>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32"/>
                <w:szCs w:val="32"/>
              </w:rPr>
            </w:pPr>
            <w:r>
              <w:rPr>
                <w:rFonts w:ascii="Times New Roman" w:hAnsi="Times New Roman" w:eastAsia="Times New Roman" w:cs="Times New Roman"/>
                <w:color w:val="000000"/>
                <w:spacing w:val="0"/>
                <w:w w:val="100"/>
                <w:position w:val="0"/>
                <w:sz w:val="32"/>
                <w:szCs w:val="32"/>
              </w:rPr>
              <w:t>2</w:t>
            </w:r>
          </w:p>
        </w:tc>
        <w:tc>
          <w:tcPr>
            <w:vMerge w:val="restart"/>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优化措施</w:t>
            </w:r>
          </w:p>
        </w:tc>
        <w:tc>
          <w:tcPr>
            <w:shd w:val="clear" w:color="auto" w:fill="FFFFFF"/>
            <w:vAlign w:val="top"/>
          </w:tcPr>
          <w:p>
            <w:pPr>
              <w:pStyle w:val="8"/>
              <w:keepNext w:val="0"/>
              <w:keepLines w:val="0"/>
              <w:widowControl w:val="0"/>
              <w:shd w:val="clear" w:color="auto" w:fill="auto"/>
              <w:bidi w:val="0"/>
              <w:spacing w:before="0" w:after="0" w:line="634" w:lineRule="exact"/>
              <w:ind w:left="0" w:right="0" w:firstLine="0"/>
              <w:jc w:val="both"/>
            </w:pPr>
            <w:r>
              <w:rPr>
                <w:color w:val="000000"/>
                <w:spacing w:val="0"/>
                <w:w w:val="100"/>
                <w:position w:val="0"/>
              </w:rPr>
              <w:t>全面推行一站式免费代办服务，市、区政务服务中心或政府指定机构对上述工程开展全流程免费代办业务，各项审批手续统一在“</w:t>
            </w:r>
            <w:r>
              <w:rPr>
                <w:rFonts w:hint="eastAsia"/>
                <w:color w:val="000000"/>
                <w:spacing w:val="0"/>
                <w:w w:val="100"/>
                <w:position w:val="0"/>
                <w:lang w:val="en-US" w:eastAsia="zh-CN"/>
              </w:rPr>
              <w:t>湖南省</w:t>
            </w:r>
            <w:r>
              <w:rPr>
                <w:color w:val="000000"/>
                <w:spacing w:val="0"/>
                <w:w w:val="100"/>
                <w:position w:val="0"/>
              </w:rPr>
              <w:t>工程建设项目</w:t>
            </w:r>
            <w:r>
              <w:rPr>
                <w:rFonts w:hint="eastAsia"/>
                <w:color w:val="000000"/>
                <w:spacing w:val="0"/>
                <w:w w:val="100"/>
                <w:position w:val="0"/>
                <w:lang w:val="en-US" w:eastAsia="zh-CN"/>
              </w:rPr>
              <w:t>审批管理系统</w:t>
            </w:r>
            <w:r>
              <w:rPr>
                <w:color w:val="000000"/>
                <w:spacing w:val="0"/>
                <w:w w:val="100"/>
                <w:position w:val="0"/>
              </w:rPr>
              <w:t>”办理。</w:t>
            </w:r>
          </w:p>
        </w:tc>
        <w:tc>
          <w:tcPr>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rPr>
                <w:rFonts w:hint="eastAsia" w:eastAsia="宋体"/>
                <w:lang w:eastAsia="zh-CN"/>
              </w:rPr>
            </w:pPr>
            <w:r>
              <w:rPr>
                <w:color w:val="000000"/>
                <w:spacing w:val="0"/>
                <w:w w:val="100"/>
                <w:position w:val="0"/>
              </w:rPr>
              <w:t>市政务</w:t>
            </w:r>
            <w:r>
              <w:rPr>
                <w:rFonts w:hint="eastAsia"/>
                <w:color w:val="000000"/>
                <w:spacing w:val="0"/>
                <w:w w:val="100"/>
                <w:position w:val="0"/>
                <w:lang w:val="en-US" w:eastAsia="zh-CN"/>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8" w:hRule="exact"/>
          <w:jc w:val="center"/>
        </w:trPr>
        <w:tc>
          <w:tcPr>
            <w:shd w:val="clear" w:color="auto" w:fill="FFFFFF"/>
            <w:vAlign w:val="center"/>
          </w:tcPr>
          <w:p>
            <w:pPr>
              <w:pStyle w:val="8"/>
              <w:keepNext w:val="0"/>
              <w:keepLines w:val="0"/>
              <w:widowControl w:val="0"/>
              <w:shd w:val="clear" w:color="auto" w:fill="auto"/>
              <w:bidi w:val="0"/>
              <w:spacing w:before="0" w:after="0" w:line="240" w:lineRule="auto"/>
              <w:ind w:left="0" w:right="0" w:firstLine="560"/>
              <w:jc w:val="both"/>
              <w:rPr>
                <w:rFonts w:hint="eastAsia" w:eastAsia="宋体"/>
                <w:sz w:val="44"/>
                <w:szCs w:val="44"/>
                <w:lang w:eastAsia="zh-CN"/>
              </w:rPr>
            </w:pPr>
            <w:r>
              <w:rPr>
                <w:rFonts w:hint="eastAsia" w:ascii="Times New Roman" w:hAnsi="Times New Roman" w:eastAsia="Times New Roman" w:cs="Times New Roman"/>
                <w:b w:val="0"/>
                <w:bCs w:val="0"/>
                <w:i w:val="0"/>
                <w:iCs w:val="0"/>
                <w:smallCaps w:val="0"/>
                <w:strike w:val="0"/>
                <w:color w:val="000000"/>
                <w:spacing w:val="0"/>
                <w:w w:val="100"/>
                <w:position w:val="0"/>
                <w:sz w:val="32"/>
                <w:szCs w:val="32"/>
                <w:lang w:val="en-US" w:eastAsia="zh-CN"/>
              </w:rPr>
              <w:t>3</w:t>
            </w:r>
          </w:p>
        </w:tc>
        <w:tc>
          <w:tcPr>
            <w:vMerge w:val="continue"/>
            <w:shd w:val="clear" w:color="auto" w:fill="FFFFFF"/>
            <w:vAlign w:val="center"/>
          </w:tcPr>
          <w:p/>
        </w:tc>
        <w:tc>
          <w:tcPr>
            <w:shd w:val="clear" w:color="auto" w:fill="FFFFFF"/>
            <w:vAlign w:val="center"/>
          </w:tcPr>
          <w:p>
            <w:pPr>
              <w:pStyle w:val="8"/>
              <w:keepNext w:val="0"/>
              <w:keepLines w:val="0"/>
              <w:widowControl w:val="0"/>
              <w:shd w:val="clear" w:color="auto" w:fill="auto"/>
              <w:bidi w:val="0"/>
              <w:spacing w:before="0" w:after="0" w:line="619" w:lineRule="exact"/>
              <w:ind w:left="0" w:right="0" w:firstLine="0"/>
              <w:jc w:val="both"/>
            </w:pPr>
            <w:r>
              <w:rPr>
                <w:rFonts w:hint="eastAsia"/>
                <w:color w:val="000000"/>
                <w:spacing w:val="0"/>
                <w:w w:val="100"/>
                <w:position w:val="0"/>
              </w:rPr>
              <w:t>办理企业投资项目备案不需提供任何材料。审批系统填报项目及项目单位有关信息，并阅知有关承诺并点击同意即可。企业投资备案完成即可完成项目赋码申请，取得项目赋码。</w:t>
            </w:r>
          </w:p>
        </w:tc>
        <w:tc>
          <w:tcPr>
            <w:shd w:val="clear" w:color="auto" w:fill="FFFFFF"/>
            <w:vAlign w:val="center"/>
          </w:tcPr>
          <w:p>
            <w:pPr>
              <w:pStyle w:val="8"/>
              <w:keepNext w:val="0"/>
              <w:keepLines w:val="0"/>
              <w:widowControl w:val="0"/>
              <w:shd w:val="clear" w:color="auto" w:fill="auto"/>
              <w:bidi w:val="0"/>
              <w:spacing w:before="0" w:after="0" w:line="623" w:lineRule="exact"/>
              <w:ind w:left="0" w:right="0" w:firstLine="0"/>
              <w:jc w:val="left"/>
            </w:pPr>
            <w:r>
              <w:rPr>
                <w:color w:val="000000"/>
                <w:spacing w:val="0"/>
                <w:w w:val="100"/>
                <w:position w:val="0"/>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86" w:hRule="exact"/>
          <w:jc w:val="center"/>
        </w:trPr>
        <w:tc>
          <w:tcPr>
            <w:tcBorders>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60" w:right="0" w:firstLine="0"/>
              <w:jc w:val="center"/>
              <w:rPr>
                <w:sz w:val="32"/>
                <w:szCs w:val="32"/>
              </w:rPr>
            </w:pPr>
            <w:r>
              <w:rPr>
                <w:rFonts w:ascii="Times New Roman" w:hAnsi="Times New Roman" w:eastAsia="Times New Roman" w:cs="Times New Roman"/>
                <w:color w:val="000000"/>
                <w:spacing w:val="0"/>
                <w:w w:val="100"/>
                <w:position w:val="0"/>
                <w:sz w:val="32"/>
                <w:szCs w:val="32"/>
              </w:rPr>
              <w:t>4</w:t>
            </w:r>
          </w:p>
        </w:tc>
        <w:tc>
          <w:tcPr>
            <w:vMerge w:val="continue"/>
            <w:tcBorders>
              <w:left w:val="single" w:color="auto" w:sz="4" w:space="0"/>
              <w:bottom w:val="single" w:color="auto" w:sz="4" w:space="0"/>
              <w:right w:val="single" w:color="auto" w:sz="4" w:space="0"/>
            </w:tcBorders>
            <w:shd w:val="clear" w:color="auto" w:fill="FFFFFF"/>
            <w:vAlign w:val="center"/>
          </w:tcPr>
          <w:p/>
        </w:tc>
        <w:tc>
          <w:tcPr>
            <w:tcBorders>
              <w:left w:val="single" w:color="auto" w:sz="4" w:space="0"/>
              <w:bottom w:val="single" w:color="auto" w:sz="4" w:space="0"/>
              <w:right w:val="single" w:color="auto" w:sz="4" w:space="0"/>
            </w:tcBorders>
            <w:shd w:val="clear" w:color="auto" w:fill="FFFFFF"/>
            <w:vAlign w:val="top"/>
          </w:tcPr>
          <w:p>
            <w:pPr>
              <w:pStyle w:val="8"/>
              <w:keepNext w:val="0"/>
              <w:keepLines w:val="0"/>
              <w:widowControl w:val="0"/>
              <w:shd w:val="clear" w:color="auto" w:fill="auto"/>
              <w:bidi w:val="0"/>
              <w:spacing w:before="0" w:after="0" w:line="626" w:lineRule="exact"/>
              <w:ind w:left="0" w:right="0" w:firstLine="0"/>
              <w:jc w:val="both"/>
            </w:pPr>
            <w:r>
              <w:rPr>
                <w:rFonts w:hint="eastAsia"/>
                <w:color w:val="000000"/>
                <w:spacing w:val="0"/>
                <w:w w:val="100"/>
                <w:position w:val="0"/>
              </w:rPr>
              <w:t>加强区域评估成果的应用，已进行区域评估且符合区域评估适用条件的，或已在用地指标中明确相关指标要求的，免办交通影响评价、洪水影响评价、生产建设项目水土保持方案评审、节能评审、文物影响评价、地震安全性评价等评估评价工作。</w:t>
            </w:r>
          </w:p>
        </w:tc>
        <w:tc>
          <w:tcPr>
            <w:tcBorders>
              <w:left w:val="single" w:color="auto" w:sz="4" w:space="0"/>
              <w:bottom w:val="single" w:color="auto" w:sz="4" w:space="0"/>
              <w:right w:val="single" w:color="auto" w:sz="4" w:space="0"/>
            </w:tcBorders>
            <w:shd w:val="clear" w:color="auto" w:fill="FFFFFF"/>
            <w:vAlign w:val="top"/>
          </w:tcPr>
          <w:p>
            <w:pPr>
              <w:pStyle w:val="8"/>
              <w:keepNext w:val="0"/>
              <w:keepLines w:val="0"/>
              <w:widowControl w:val="0"/>
              <w:shd w:val="clear" w:color="auto" w:fill="auto"/>
              <w:bidi w:val="0"/>
              <w:spacing w:before="0" w:after="0" w:line="626" w:lineRule="exact"/>
              <w:ind w:left="0" w:right="0" w:firstLine="0"/>
              <w:jc w:val="left"/>
            </w:pPr>
            <w:r>
              <w:rPr>
                <w:color w:val="000000"/>
                <w:spacing w:val="0"/>
                <w:w w:val="100"/>
                <w:position w:val="0"/>
              </w:rPr>
              <w:t>市</w:t>
            </w:r>
            <w:r>
              <w:rPr>
                <w:rFonts w:hint="eastAsia"/>
                <w:color w:val="000000"/>
                <w:spacing w:val="0"/>
                <w:w w:val="100"/>
                <w:position w:val="0"/>
                <w:lang w:val="en-US" w:eastAsia="zh-CN"/>
              </w:rPr>
              <w:t>发展改革委、</w:t>
            </w:r>
            <w:r>
              <w:rPr>
                <w:color w:val="000000"/>
                <w:spacing w:val="0"/>
                <w:w w:val="100"/>
                <w:position w:val="0"/>
              </w:rPr>
              <w:t>自然资源和规划局、水务局、</w:t>
            </w:r>
            <w:r>
              <w:rPr>
                <w:rFonts w:hint="eastAsia"/>
                <w:color w:val="000000"/>
                <w:spacing w:val="0"/>
                <w:w w:val="100"/>
                <w:position w:val="0"/>
                <w:lang w:val="en-US" w:eastAsia="zh-CN"/>
              </w:rPr>
              <w:t>文广新局</w:t>
            </w:r>
            <w:r>
              <w:rPr>
                <w:color w:val="000000"/>
                <w:spacing w:val="0"/>
                <w:w w:val="100"/>
                <w:position w:val="0"/>
              </w:rPr>
              <w:t>、公安交警支队、地震局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1"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60" w:right="0" w:firstLine="0"/>
              <w:jc w:val="center"/>
              <w:rPr>
                <w:sz w:val="44"/>
                <w:szCs w:val="44"/>
              </w:rPr>
            </w:pPr>
            <w:r>
              <w:rPr>
                <w:rFonts w:ascii="Times New Roman" w:hAnsi="Times New Roman" w:eastAsia="Times New Roman" w:cs="Times New Roman"/>
                <w:b w:val="0"/>
                <w:bCs w:val="0"/>
                <w:i w:val="0"/>
                <w:iCs w:val="0"/>
                <w:smallCaps w:val="0"/>
                <w:strike w:val="0"/>
                <w:color w:val="000000"/>
                <w:spacing w:val="0"/>
                <w:w w:val="100"/>
                <w:position w:val="0"/>
                <w:sz w:val="32"/>
                <w:szCs w:val="32"/>
              </w:rPr>
              <w:t>5</w:t>
            </w:r>
          </w:p>
        </w:tc>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28" w:lineRule="exact"/>
              <w:ind w:left="0" w:right="0" w:firstLine="0"/>
              <w:jc w:val="both"/>
            </w:pPr>
            <w:r>
              <w:rPr>
                <w:rFonts w:hint="eastAsia"/>
                <w:color w:val="000000"/>
                <w:spacing w:val="0"/>
                <w:w w:val="100"/>
                <w:position w:val="0"/>
              </w:rPr>
              <w:t>岩土工程初步勘察工作应在土地出让前由项目所在地的区级人民政府相关部门、特定地区管委会或土地收储部门委托勘察单位完成。推行社会投资简易低风险项目土地带方案出让。</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26" w:lineRule="exact"/>
              <w:ind w:left="0" w:right="0" w:firstLine="0"/>
              <w:jc w:val="both"/>
            </w:pPr>
            <w:r>
              <w:rPr>
                <w:rFonts w:hint="eastAsia"/>
                <w:color w:val="000000"/>
                <w:spacing w:val="0"/>
                <w:w w:val="100"/>
                <w:position w:val="0"/>
                <w:lang w:val="en-US" w:eastAsia="zh-CN"/>
              </w:rPr>
              <w:t>市</w:t>
            </w:r>
            <w:r>
              <w:rPr>
                <w:color w:val="000000"/>
                <w:spacing w:val="0"/>
                <w:w w:val="100"/>
                <w:position w:val="0"/>
              </w:rPr>
              <w:t>自然资源</w:t>
            </w:r>
            <w:r>
              <w:rPr>
                <w:rFonts w:hint="eastAsia"/>
                <w:color w:val="000000"/>
                <w:spacing w:val="0"/>
                <w:w w:val="100"/>
                <w:position w:val="0"/>
                <w:lang w:val="en-US" w:eastAsia="zh-CN"/>
              </w:rPr>
              <w:t>和规划</w:t>
            </w:r>
            <w:r>
              <w:rPr>
                <w:color w:val="000000"/>
                <w:spacing w:val="0"/>
                <w:w w:val="100"/>
                <w:position w:val="0"/>
              </w:rPr>
              <w:t>局、财政局，各区政府、管委会</w:t>
            </w:r>
          </w:p>
        </w:tc>
      </w:tr>
    </w:tbl>
    <w:p>
      <w:pPr>
        <w:sectPr>
          <w:footnotePr>
            <w:numFmt w:val="decimal"/>
          </w:footnotePr>
          <w:pgSz w:w="23811" w:h="16838" w:orient="landscape"/>
          <w:pgMar w:top="1701" w:right="1752" w:bottom="2268" w:left="1276" w:header="0" w:footer="6" w:gutter="0"/>
          <w:cols w:space="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1246"/>
        <w:gridCol w:w="1980"/>
        <w:gridCol w:w="12845"/>
        <w:gridCol w:w="4702"/>
      </w:tblGrid>
      <w:tr>
        <w:tblPrEx>
          <w:tblCellMar>
            <w:top w:w="0" w:type="dxa"/>
            <w:left w:w="10" w:type="dxa"/>
            <w:bottom w:w="0" w:type="dxa"/>
            <w:right w:w="10" w:type="dxa"/>
          </w:tblCellMar>
        </w:tblPrEx>
        <w:trPr>
          <w:trHeight w:val="1980"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60" w:leftChars="0" w:right="0" w:rightChars="0" w:firstLine="0" w:firstLineChars="0"/>
              <w:jc w:val="center"/>
              <w:rPr>
                <w:rFonts w:hint="eastAsia" w:ascii="Times New Roman" w:hAnsi="Times New Roman" w:eastAsia="宋体" w:cs="Times New Roman"/>
                <w:b w:val="0"/>
                <w:bCs w:val="0"/>
                <w:i w:val="0"/>
                <w:iCs w:val="0"/>
                <w:smallCaps w:val="0"/>
                <w:strike w:val="0"/>
                <w:color w:val="000000"/>
                <w:spacing w:val="0"/>
                <w:w w:val="100"/>
                <w:position w:val="0"/>
                <w:sz w:val="32"/>
                <w:szCs w:val="32"/>
                <w:u w:val="none"/>
                <w:shd w:val="clear" w:color="auto" w:fill="auto"/>
                <w:lang w:val="en-US" w:eastAsia="zh-CN" w:bidi="zh-TW"/>
              </w:rPr>
            </w:pPr>
            <w:r>
              <w:rPr>
                <w:rFonts w:hint="eastAsia" w:ascii="Times New Roman" w:hAnsi="Times New Roman" w:cs="Times New Roman"/>
                <w:b w:val="0"/>
                <w:bCs w:val="0"/>
                <w:i w:val="0"/>
                <w:iCs w:val="0"/>
                <w:smallCaps w:val="0"/>
                <w:strike w:val="0"/>
                <w:color w:val="000000"/>
                <w:spacing w:val="0"/>
                <w:w w:val="100"/>
                <w:position w:val="0"/>
                <w:sz w:val="32"/>
                <w:szCs w:val="32"/>
                <w:lang w:val="en-US" w:eastAsia="zh-CN"/>
              </w:rPr>
              <w:t>6</w:t>
            </w:r>
          </w:p>
        </w:tc>
        <w:tc>
          <w:tcPr>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ind w:left="0" w:leftChars="0" w:right="0" w:rightChars="0" w:firstLine="0" w:firstLineChars="0"/>
              <w:rPr>
                <w:rFonts w:ascii="Times New Roman" w:hAnsi="Times New Roman" w:eastAsia="Times New Roman" w:cs="Times New Roman"/>
                <w:color w:val="000000"/>
                <w:spacing w:val="0"/>
                <w:w w:val="100"/>
                <w:position w:val="0"/>
                <w:sz w:val="24"/>
                <w:szCs w:val="24"/>
                <w:shd w:val="clear" w:color="auto" w:fill="auto"/>
                <w:lang w:val="en-US" w:eastAsia="en-US" w:bidi="en-US"/>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28" w:lineRule="exact"/>
              <w:ind w:left="0" w:leftChars="0" w:right="0" w:rightChars="0" w:firstLine="0" w:firstLineChars="0"/>
              <w:jc w:val="both"/>
              <w:rPr>
                <w:rFonts w:hint="eastAsia"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pPr>
            <w:r>
              <w:rPr>
                <w:rFonts w:hint="eastAsia"/>
                <w:color w:val="000000"/>
                <w:spacing w:val="0"/>
                <w:w w:val="100"/>
                <w:position w:val="0"/>
              </w:rPr>
              <w:t>不再强制要求进行工程监理。社会投资简易低风险工程建设项目原则上不再强制要求进行工程监理。建设单位可以自主决策选择监理或全过程工程咨询服务等其它管理模式。鼓励有条件的建设单位实行自管模式。</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26" w:lineRule="exact"/>
              <w:ind w:left="0" w:leftChars="0" w:right="0" w:rightChars="0" w:firstLine="0" w:firstLineChars="0"/>
              <w:jc w:val="both"/>
              <w:rPr>
                <w:rFonts w:hint="eastAsia"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zh-CN" w:bidi="zh-TW"/>
              </w:rPr>
            </w:pPr>
            <w:r>
              <w:rPr>
                <w:color w:val="000000"/>
                <w:spacing w:val="0"/>
                <w:w w:val="100"/>
                <w:position w:val="0"/>
              </w:rPr>
              <w:t>市住房城乡建设局</w:t>
            </w:r>
          </w:p>
        </w:tc>
      </w:tr>
      <w:tr>
        <w:tblPrEx>
          <w:tblCellMar>
            <w:top w:w="0" w:type="dxa"/>
            <w:left w:w="10" w:type="dxa"/>
            <w:bottom w:w="0" w:type="dxa"/>
            <w:right w:w="10" w:type="dxa"/>
          </w:tblCellMar>
        </w:tblPrEx>
        <w:trPr>
          <w:trHeight w:val="1980"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60" w:right="0" w:firstLine="0"/>
              <w:jc w:val="center"/>
              <w:rPr>
                <w:rFonts w:hint="default" w:ascii="Times New Roman" w:hAnsi="Times New Roman" w:cs="Times New Roman"/>
                <w:b w:val="0"/>
                <w:bCs w:val="0"/>
                <w:i w:val="0"/>
                <w:iCs w:val="0"/>
                <w:smallCaps w:val="0"/>
                <w:strike w:val="0"/>
                <w:color w:val="000000"/>
                <w:spacing w:val="0"/>
                <w:w w:val="100"/>
                <w:position w:val="0"/>
                <w:sz w:val="32"/>
                <w:szCs w:val="32"/>
                <w:lang w:val="en-US" w:eastAsia="zh-CN"/>
              </w:rPr>
            </w:pPr>
            <w:r>
              <w:rPr>
                <w:rFonts w:hint="eastAsia" w:ascii="Times New Roman" w:hAnsi="Times New Roman" w:cs="Times New Roman"/>
                <w:b w:val="0"/>
                <w:bCs w:val="0"/>
                <w:i w:val="0"/>
                <w:iCs w:val="0"/>
                <w:smallCaps w:val="0"/>
                <w:strike w:val="0"/>
                <w:color w:val="000000"/>
                <w:spacing w:val="0"/>
                <w:w w:val="100"/>
                <w:position w:val="0"/>
                <w:sz w:val="32"/>
                <w:szCs w:val="32"/>
                <w:lang w:val="en-US" w:eastAsia="zh-CN"/>
              </w:rPr>
              <w:t>7</w:t>
            </w:r>
          </w:p>
        </w:tc>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color w:val="000000"/>
                <w:spacing w:val="0"/>
                <w:w w:val="100"/>
                <w:position w:val="0"/>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30" w:lineRule="exact"/>
              <w:ind w:left="0" w:leftChars="0" w:right="0" w:rightChars="0" w:firstLine="0" w:firstLineChars="0"/>
              <w:jc w:val="both"/>
              <w:rPr>
                <w:rFonts w:hint="eastAsia"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pPr>
            <w:r>
              <w:rPr>
                <w:rFonts w:hint="eastAsia"/>
                <w:color w:val="000000"/>
                <w:spacing w:val="0"/>
                <w:w w:val="100"/>
                <w:position w:val="0"/>
              </w:rPr>
              <w:t>免于办理设计方案审查，企业可直接申请办理建设工程规划许可证;免于核发污水排入排水管网许可证，将施工许可信息至城管部门，相关部门直接办理接入。简易低风险项目不纳入环境影响评价管理审批，免于办理环境影响评价审批。</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34" w:lineRule="exact"/>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pPr>
            <w:r>
              <w:rPr>
                <w:color w:val="000000"/>
                <w:spacing w:val="0"/>
                <w:w w:val="100"/>
                <w:position w:val="0"/>
              </w:rPr>
              <w:t>市规划和自然资源局、</w:t>
            </w:r>
            <w:r>
              <w:rPr>
                <w:rFonts w:hint="eastAsia"/>
                <w:color w:val="000000"/>
                <w:spacing w:val="0"/>
                <w:w w:val="100"/>
                <w:position w:val="0"/>
                <w:lang w:val="en-US" w:eastAsia="zh-CN"/>
              </w:rPr>
              <w:t>城管部门、各市政公用服务企业</w:t>
            </w:r>
            <w:r>
              <w:rPr>
                <w:color w:val="000000"/>
                <w:spacing w:val="0"/>
                <w:w w:val="100"/>
                <w:position w:val="0"/>
              </w:rPr>
              <w:t>、生态环境局</w:t>
            </w:r>
          </w:p>
        </w:tc>
      </w:tr>
      <w:tr>
        <w:tblPrEx>
          <w:tblCellMar>
            <w:top w:w="0" w:type="dxa"/>
            <w:left w:w="10" w:type="dxa"/>
            <w:bottom w:w="0" w:type="dxa"/>
            <w:right w:w="10" w:type="dxa"/>
          </w:tblCellMar>
        </w:tblPrEx>
        <w:trPr>
          <w:trHeight w:val="2156"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60" w:right="0" w:firstLine="0"/>
              <w:jc w:val="center"/>
              <w:rPr>
                <w:rFonts w:hint="eastAsia" w:ascii="Times New Roman" w:hAnsi="Times New Roman" w:eastAsia="宋体" w:cs="Times New Roman"/>
                <w:b w:val="0"/>
                <w:bCs w:val="0"/>
                <w:i w:val="0"/>
                <w:iCs w:val="0"/>
                <w:smallCaps w:val="0"/>
                <w:strike w:val="0"/>
                <w:color w:val="000000"/>
                <w:spacing w:val="0"/>
                <w:w w:val="100"/>
                <w:position w:val="0"/>
                <w:sz w:val="32"/>
                <w:szCs w:val="32"/>
                <w:lang w:eastAsia="zh-CN"/>
              </w:rPr>
            </w:pPr>
            <w:r>
              <w:rPr>
                <w:rFonts w:hint="eastAsia" w:ascii="Times New Roman" w:hAnsi="Times New Roman" w:cs="Times New Roman"/>
                <w:b w:val="0"/>
                <w:bCs w:val="0"/>
                <w:i w:val="0"/>
                <w:iCs w:val="0"/>
                <w:smallCaps w:val="0"/>
                <w:strike w:val="0"/>
                <w:color w:val="000000"/>
                <w:spacing w:val="0"/>
                <w:w w:val="100"/>
                <w:position w:val="0"/>
                <w:sz w:val="32"/>
                <w:szCs w:val="32"/>
                <w:lang w:val="en-US" w:eastAsia="zh-CN"/>
              </w:rPr>
              <w:t>8</w:t>
            </w:r>
          </w:p>
        </w:tc>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19" w:lineRule="exact"/>
              <w:ind w:left="0" w:right="0" w:firstLine="0"/>
              <w:jc w:val="both"/>
            </w:pPr>
            <w:r>
              <w:rPr>
                <w:rFonts w:hint="eastAsia"/>
                <w:color w:val="000000"/>
                <w:spacing w:val="0"/>
                <w:w w:val="100"/>
                <w:position w:val="0"/>
              </w:rPr>
              <w:t>压减建设工程规划许可证、施工图设计文件审查和形式审核确认、建筑施工许可证办理时限。建设工程规划许可证审批时限压减至5个工作日，施工图设计文件审查和形式审核确认时限压减至8个工作日，施工许可证办理审批时限压减至3个工作日。</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rPr>
                <w:rFonts w:hint="eastAsia" w:eastAsia="宋体"/>
                <w:lang w:eastAsia="zh-CN"/>
              </w:rPr>
            </w:pPr>
            <w:r>
              <w:rPr>
                <w:rFonts w:hint="eastAsia"/>
                <w:color w:val="000000"/>
                <w:spacing w:val="0"/>
                <w:w w:val="100"/>
                <w:position w:val="0"/>
                <w:lang w:val="en-US" w:eastAsia="zh-CN"/>
              </w:rPr>
              <w:t>市自然资源和规划局、</w:t>
            </w:r>
            <w:r>
              <w:rPr>
                <w:color w:val="000000"/>
                <w:spacing w:val="0"/>
                <w:w w:val="100"/>
                <w:position w:val="0"/>
              </w:rPr>
              <w:t>市住房城乡建设局</w:t>
            </w:r>
          </w:p>
        </w:tc>
      </w:tr>
      <w:tr>
        <w:tblPrEx>
          <w:tblCellMar>
            <w:top w:w="0" w:type="dxa"/>
            <w:left w:w="10" w:type="dxa"/>
            <w:bottom w:w="0" w:type="dxa"/>
            <w:right w:w="10" w:type="dxa"/>
          </w:tblCellMar>
        </w:tblPrEx>
        <w:trPr>
          <w:trHeight w:val="1040" w:hRule="exact"/>
          <w:jc w:val="center"/>
        </w:trPr>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60" w:right="0" w:firstLine="0"/>
              <w:jc w:val="center"/>
              <w:rPr>
                <w:rFonts w:hint="eastAsia" w:ascii="Times New Roman" w:hAnsi="Times New Roman" w:eastAsia="宋体" w:cs="Times New Roman"/>
                <w:b w:val="0"/>
                <w:bCs w:val="0"/>
                <w:i w:val="0"/>
                <w:iCs w:val="0"/>
                <w:smallCaps w:val="0"/>
                <w:strike w:val="0"/>
                <w:color w:val="000000"/>
                <w:spacing w:val="0"/>
                <w:w w:val="100"/>
                <w:position w:val="0"/>
                <w:sz w:val="32"/>
                <w:szCs w:val="32"/>
                <w:lang w:eastAsia="zh-CN"/>
              </w:rPr>
            </w:pPr>
            <w:r>
              <w:rPr>
                <w:rFonts w:hint="eastAsia" w:ascii="Times New Roman" w:hAnsi="Times New Roman" w:cs="Times New Roman"/>
                <w:b w:val="0"/>
                <w:bCs w:val="0"/>
                <w:i w:val="0"/>
                <w:iCs w:val="0"/>
                <w:smallCaps w:val="0"/>
                <w:strike w:val="0"/>
                <w:color w:val="000000"/>
                <w:spacing w:val="0"/>
                <w:w w:val="100"/>
                <w:position w:val="0"/>
                <w:sz w:val="32"/>
                <w:szCs w:val="32"/>
                <w:lang w:val="en-US" w:eastAsia="zh-CN"/>
              </w:rPr>
              <w:t>9</w:t>
            </w:r>
          </w:p>
        </w:tc>
        <w:tc>
          <w:tcPr>
            <w:vMerge w:val="continue"/>
            <w:tcBorders>
              <w:top w:val="single" w:color="auto" w:sz="4" w:space="0"/>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pPr>
            <w:r>
              <w:rPr>
                <w:color w:val="000000"/>
                <w:spacing w:val="0"/>
                <w:w w:val="100"/>
                <w:position w:val="0"/>
              </w:rPr>
              <w:t>城市基础设施配套费不再向企业收取，纳入土地成本综合考虑。</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8"/>
              <w:keepNext w:val="0"/>
              <w:keepLines w:val="0"/>
              <w:widowControl w:val="0"/>
              <w:shd w:val="clear" w:color="auto" w:fill="auto"/>
              <w:bidi w:val="0"/>
              <w:spacing w:before="0" w:after="0" w:line="612" w:lineRule="exact"/>
              <w:ind w:left="0" w:right="0" w:firstLine="0"/>
              <w:jc w:val="left"/>
            </w:pPr>
            <w:r>
              <w:rPr>
                <w:rFonts w:hint="eastAsia"/>
                <w:color w:val="000000"/>
                <w:spacing w:val="0"/>
                <w:w w:val="100"/>
                <w:position w:val="0"/>
                <w:lang w:val="en-US" w:eastAsia="zh-CN"/>
              </w:rPr>
              <w:t>市</w:t>
            </w:r>
            <w:r>
              <w:rPr>
                <w:color w:val="000000"/>
                <w:spacing w:val="0"/>
                <w:w w:val="100"/>
                <w:position w:val="0"/>
              </w:rPr>
              <w:t>自然资源和规划局、财政局</w:t>
            </w:r>
          </w:p>
        </w:tc>
      </w:tr>
      <w:tr>
        <w:tblPrEx>
          <w:tblCellMar>
            <w:top w:w="0" w:type="dxa"/>
            <w:left w:w="10" w:type="dxa"/>
            <w:bottom w:w="0" w:type="dxa"/>
            <w:right w:w="10" w:type="dxa"/>
          </w:tblCellMar>
        </w:tblPrEx>
        <w:trPr>
          <w:trHeight w:val="1878"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60" w:right="0" w:firstLine="0"/>
              <w:jc w:val="center"/>
              <w:rPr>
                <w:rFonts w:hint="default" w:ascii="Times New Roman" w:hAnsi="Times New Roman" w:eastAsia="宋体" w:cs="Times New Roman"/>
                <w:b w:val="0"/>
                <w:bCs w:val="0"/>
                <w:i w:val="0"/>
                <w:iCs w:val="0"/>
                <w:smallCaps w:val="0"/>
                <w:strike w:val="0"/>
                <w:color w:val="000000"/>
                <w:spacing w:val="0"/>
                <w:w w:val="100"/>
                <w:position w:val="0"/>
                <w:sz w:val="32"/>
                <w:szCs w:val="32"/>
                <w:lang w:val="en-US" w:eastAsia="zh-CN"/>
              </w:rPr>
            </w:pPr>
            <w:r>
              <w:rPr>
                <w:rFonts w:hint="eastAsia" w:ascii="Times New Roman" w:hAnsi="Times New Roman" w:cs="Times New Roman"/>
                <w:b w:val="0"/>
                <w:bCs w:val="0"/>
                <w:i w:val="0"/>
                <w:iCs w:val="0"/>
                <w:smallCaps w:val="0"/>
                <w:strike w:val="0"/>
                <w:color w:val="000000"/>
                <w:spacing w:val="0"/>
                <w:w w:val="100"/>
                <w:position w:val="0"/>
                <w:sz w:val="32"/>
                <w:szCs w:val="32"/>
                <w:lang w:val="en-US" w:eastAsia="zh-CN"/>
              </w:rPr>
              <w:t>10</w:t>
            </w:r>
          </w:p>
        </w:tc>
        <w:tc>
          <w:tcPr>
            <w:vMerge w:val="continue"/>
            <w:tcBorders>
              <w:top w:val="single" w:color="auto" w:sz="4" w:space="0"/>
              <w:left w:val="single" w:color="auto" w:sz="4" w:space="0"/>
              <w:bottom w:val="single" w:color="auto" w:sz="4" w:space="0"/>
              <w:right w:val="single" w:color="auto" w:sz="4" w:space="0"/>
            </w:tcBorders>
            <w:shd w:val="clear" w:color="auto" w:fill="FFFFFF"/>
            <w:vAlign w:val="center"/>
          </w:tc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24" w:lineRule="exact"/>
              <w:ind w:left="0" w:right="0" w:firstLine="0"/>
              <w:jc w:val="both"/>
            </w:pPr>
            <w:r>
              <w:rPr>
                <w:rFonts w:hint="eastAsia"/>
                <w:color w:val="000000"/>
                <w:spacing w:val="0"/>
                <w:w w:val="100"/>
                <w:position w:val="0"/>
              </w:rPr>
              <w:t>加快供水、供电接入服务，建设单位在工程设计方案稳定后，在办理建设工程规划许可时，将项目信息向供水、供电市政公用服务企业推送，由供水、供电等市政公用服务企业负责建设，规划红线范围外的管道敷设接驳费用由市、区财政支付，建设单位免于办理相应的行政许可手续。</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16" w:lineRule="exact"/>
              <w:ind w:left="0" w:right="0" w:firstLine="0"/>
              <w:jc w:val="both"/>
              <w:rPr>
                <w:rFonts w:hint="eastAsia" w:eastAsia="宋体"/>
                <w:lang w:val="en-US" w:eastAsia="zh-CN"/>
              </w:rPr>
            </w:pPr>
            <w:r>
              <w:rPr>
                <w:color w:val="000000"/>
                <w:spacing w:val="0"/>
                <w:w w:val="100"/>
                <w:position w:val="0"/>
              </w:rPr>
              <w:t>市住房城乡建设局、</w:t>
            </w:r>
            <w:r>
              <w:rPr>
                <w:rFonts w:hint="eastAsia"/>
                <w:color w:val="000000"/>
                <w:spacing w:val="0"/>
                <w:w w:val="100"/>
                <w:position w:val="0"/>
              </w:rPr>
              <w:t>市政公用服务企业、城市管理部门、</w:t>
            </w:r>
            <w:r>
              <w:rPr>
                <w:rFonts w:hint="eastAsia"/>
                <w:color w:val="000000"/>
                <w:spacing w:val="0"/>
                <w:w w:val="100"/>
                <w:position w:val="0"/>
                <w:lang w:val="en-US" w:eastAsia="zh-CN"/>
              </w:rPr>
              <w:t>财政局</w:t>
            </w:r>
          </w:p>
        </w:tc>
      </w:tr>
      <w:tr>
        <w:tblPrEx>
          <w:tblCellMar>
            <w:top w:w="0" w:type="dxa"/>
            <w:left w:w="10" w:type="dxa"/>
            <w:bottom w:w="0" w:type="dxa"/>
            <w:right w:w="10" w:type="dxa"/>
          </w:tblCellMar>
        </w:tblPrEx>
        <w:trPr>
          <w:trHeight w:val="2262" w:hRule="exact"/>
          <w:jc w:val="center"/>
        </w:trPr>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eastAsia="宋体"/>
                <w:sz w:val="32"/>
                <w:szCs w:val="32"/>
                <w:lang w:val="en-US" w:eastAsia="zh-CN"/>
              </w:rPr>
            </w:pPr>
            <w:r>
              <w:rPr>
                <w:rFonts w:hint="eastAsia" w:ascii="Times New Roman" w:hAnsi="Times New Roman" w:cs="Times New Roman"/>
                <w:color w:val="000000"/>
                <w:spacing w:val="0"/>
                <w:w w:val="100"/>
                <w:position w:val="0"/>
                <w:sz w:val="32"/>
                <w:szCs w:val="32"/>
                <w:lang w:val="en-US" w:eastAsia="zh-CN"/>
              </w:rPr>
              <w:t>11</w:t>
            </w:r>
          </w:p>
        </w:tc>
        <w:tc>
          <w:tcPr>
            <w:vMerge w:val="continue"/>
            <w:tcBorders>
              <w:top w:val="single" w:color="auto" w:sz="4" w:space="0"/>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624" w:lineRule="exact"/>
              <w:ind w:left="0" w:right="0" w:firstLine="0"/>
              <w:jc w:val="both"/>
            </w:pPr>
            <w:r>
              <w:rPr>
                <w:rFonts w:hint="eastAsia"/>
                <w:color w:val="000000"/>
                <w:spacing w:val="0"/>
                <w:w w:val="100"/>
                <w:position w:val="0"/>
              </w:rPr>
              <w:t>市政公用服务企业办理以下范围内小型市政公用设施接入服务的，不需办理项目备案、规划、施工、占用挖掘道路、砍伐迁移树木等行政许可，施工方案稳定后推送规划、交警、城管等部门报备。达到接入条件后，市政公用服务企业应将相关信息推送城管部门，并负责按标准恢复道路。</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19" w:lineRule="exact"/>
              <w:ind w:left="0" w:right="0" w:firstLine="0"/>
              <w:jc w:val="both"/>
            </w:pPr>
            <w:r>
              <w:rPr>
                <w:color w:val="000000"/>
                <w:spacing w:val="0"/>
                <w:w w:val="100"/>
                <w:position w:val="0"/>
              </w:rPr>
              <w:t>市</w:t>
            </w:r>
            <w:r>
              <w:rPr>
                <w:rFonts w:hint="eastAsia"/>
                <w:color w:val="000000"/>
                <w:spacing w:val="0"/>
                <w:w w:val="100"/>
                <w:position w:val="0"/>
                <w:lang w:val="en-US" w:eastAsia="zh-CN"/>
              </w:rPr>
              <w:t>政务服务中心、市政公用服务企业</w:t>
            </w:r>
            <w:r>
              <w:rPr>
                <w:color w:val="000000"/>
                <w:spacing w:val="0"/>
                <w:w w:val="100"/>
                <w:position w:val="0"/>
              </w:rPr>
              <w:t>、</w:t>
            </w:r>
            <w:r>
              <w:rPr>
                <w:rFonts w:hint="eastAsia"/>
                <w:color w:val="000000"/>
                <w:spacing w:val="0"/>
                <w:w w:val="100"/>
                <w:position w:val="0"/>
                <w:lang w:val="en-US" w:eastAsia="zh-CN"/>
              </w:rPr>
              <w:t>城市管理部门、市公安交警部门</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282"/>
        <w:gridCol w:w="1966"/>
        <w:gridCol w:w="12809"/>
        <w:gridCol w:w="4687"/>
      </w:tblGrid>
      <w:tr>
        <w:tblPrEx>
          <w:tblCellMar>
            <w:top w:w="0" w:type="dxa"/>
            <w:left w:w="10" w:type="dxa"/>
            <w:bottom w:w="0" w:type="dxa"/>
            <w:right w:w="10" w:type="dxa"/>
          </w:tblCellMar>
        </w:tblPrEx>
        <w:trPr>
          <w:trHeight w:val="4572" w:hRule="exact"/>
          <w:jc w:val="center"/>
        </w:trPr>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32"/>
                <w:szCs w:val="32"/>
              </w:rPr>
            </w:pPr>
            <w:r>
              <w:rPr>
                <w:rFonts w:ascii="Times New Roman" w:hAnsi="Times New Roman" w:eastAsia="Times New Roman" w:cs="Times New Roman"/>
                <w:color w:val="000000"/>
                <w:spacing w:val="0"/>
                <w:w w:val="100"/>
                <w:position w:val="0"/>
                <w:sz w:val="32"/>
                <w:szCs w:val="32"/>
                <w:lang w:val="zh-CN" w:eastAsia="zh-CN" w:bidi="zh-CN"/>
              </w:rPr>
              <w:t>11</w:t>
            </w:r>
          </w:p>
        </w:tc>
        <w:tc>
          <w:tcPr>
            <w:vMerge w:val="restart"/>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优化措施</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619" w:lineRule="exact"/>
              <w:ind w:left="0" w:right="0" w:firstLine="0"/>
              <w:jc w:val="both"/>
            </w:pPr>
            <w:r>
              <w:rPr>
                <w:color w:val="000000"/>
                <w:spacing w:val="0"/>
                <w:w w:val="100"/>
                <w:position w:val="0"/>
              </w:rPr>
              <w:t>市政公用服务企业办理以下范围内小型市政公用设施接入服务的，不需办理项目备案、规划、施工、占用挖掘道路、砍伐迁移树木等行政许可，施工方案稳定后推送交通运输、交警、水务、林业园林、城管等部门。达到接入条件后，市政公用服务企业应将相关信息推送交通运输部门，并负责按标准恢复道路。小型市政公用设施范围：</w:t>
            </w:r>
            <w:r>
              <w:rPr>
                <w:rFonts w:ascii="Times New Roman" w:hAnsi="Times New Roman" w:eastAsia="Times New Roman" w:cs="Times New Roman"/>
                <w:color w:val="000000"/>
                <w:spacing w:val="0"/>
                <w:w w:val="100"/>
                <w:position w:val="0"/>
                <w:sz w:val="32"/>
                <w:szCs w:val="32"/>
                <w:lang w:val="en-US" w:eastAsia="en-US" w:bidi="en-US"/>
              </w:rPr>
              <w:t>1.</w:t>
            </w:r>
            <w:r>
              <w:rPr>
                <w:color w:val="000000"/>
                <w:spacing w:val="0"/>
                <w:w w:val="100"/>
                <w:position w:val="0"/>
              </w:rPr>
              <w:t>供水：连接水管的直径不大于</w:t>
            </w:r>
            <w:r>
              <w:rPr>
                <w:rFonts w:ascii="Times New Roman" w:hAnsi="Times New Roman" w:eastAsia="Times New Roman" w:cs="Times New Roman"/>
                <w:color w:val="000000"/>
                <w:spacing w:val="0"/>
                <w:w w:val="100"/>
                <w:position w:val="0"/>
                <w:sz w:val="32"/>
                <w:szCs w:val="32"/>
              </w:rPr>
              <w:t>4</w:t>
            </w:r>
            <w:r>
              <w:rPr>
                <w:color w:val="000000"/>
                <w:spacing w:val="0"/>
                <w:w w:val="100"/>
                <w:position w:val="0"/>
              </w:rPr>
              <w:t>厘米，距离现有水源和下水道接口不大于</w:t>
            </w:r>
            <w:r>
              <w:rPr>
                <w:rFonts w:ascii="Times New Roman" w:hAnsi="Times New Roman" w:eastAsia="Times New Roman" w:cs="Times New Roman"/>
                <w:color w:val="000000"/>
                <w:spacing w:val="0"/>
                <w:w w:val="100"/>
                <w:position w:val="0"/>
                <w:sz w:val="32"/>
                <w:szCs w:val="32"/>
              </w:rPr>
              <w:t>150</w:t>
            </w:r>
            <w:r>
              <w:rPr>
                <w:color w:val="000000"/>
                <w:spacing w:val="0"/>
                <w:w w:val="100"/>
                <w:position w:val="0"/>
              </w:rPr>
              <w:t>米。</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.排水：日排水量不大于</w:t>
            </w:r>
            <w:r>
              <w:rPr>
                <w:rFonts w:ascii="Times New Roman" w:hAnsi="Times New Roman" w:eastAsia="Times New Roman" w:cs="Times New Roman"/>
                <w:color w:val="000000"/>
                <w:spacing w:val="0"/>
                <w:w w:val="100"/>
                <w:position w:val="0"/>
                <w:sz w:val="32"/>
                <w:szCs w:val="32"/>
              </w:rPr>
              <w:t>50</w:t>
            </w:r>
            <w:r>
              <w:rPr>
                <w:color w:val="000000"/>
                <w:spacing w:val="0"/>
                <w:w w:val="100"/>
                <w:position w:val="0"/>
              </w:rPr>
              <w:t>吨，连接水管的直径不大于</w:t>
            </w:r>
            <w:r>
              <w:rPr>
                <w:rFonts w:ascii="Times New Roman" w:hAnsi="Times New Roman" w:eastAsia="Times New Roman" w:cs="Times New Roman"/>
                <w:color w:val="000000"/>
                <w:spacing w:val="0"/>
                <w:w w:val="100"/>
                <w:position w:val="0"/>
                <w:sz w:val="32"/>
                <w:szCs w:val="32"/>
              </w:rPr>
              <w:t>50</w:t>
            </w:r>
            <w:r>
              <w:rPr>
                <w:color w:val="000000"/>
                <w:spacing w:val="0"/>
                <w:w w:val="100"/>
                <w:position w:val="0"/>
              </w:rPr>
              <w:t>厘米。距离现有水源和下水道接口不大于</w:t>
            </w:r>
            <w:r>
              <w:rPr>
                <w:rFonts w:ascii="Times New Roman" w:hAnsi="Times New Roman" w:eastAsia="Times New Roman" w:cs="Times New Roman"/>
                <w:color w:val="000000"/>
                <w:spacing w:val="0"/>
                <w:w w:val="100"/>
                <w:position w:val="0"/>
                <w:sz w:val="32"/>
                <w:szCs w:val="32"/>
              </w:rPr>
              <w:t>150</w:t>
            </w:r>
            <w:r>
              <w:rPr>
                <w:color w:val="000000"/>
                <w:spacing w:val="0"/>
                <w:w w:val="100"/>
                <w:position w:val="0"/>
              </w:rPr>
              <w:t>米。</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.供电：电压等级在</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千伏以下（不含</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千伏），报装容量不大于</w:t>
            </w:r>
            <w:r>
              <w:rPr>
                <w:rFonts w:ascii="Times New Roman" w:hAnsi="Times New Roman" w:eastAsia="Times New Roman" w:cs="Times New Roman"/>
                <w:color w:val="000000"/>
                <w:spacing w:val="0"/>
                <w:w w:val="100"/>
                <w:position w:val="0"/>
                <w:sz w:val="32"/>
                <w:szCs w:val="32"/>
              </w:rPr>
              <w:t>200</w:t>
            </w:r>
            <w:r>
              <w:rPr>
                <w:color w:val="000000"/>
                <w:spacing w:val="0"/>
                <w:w w:val="100"/>
                <w:position w:val="0"/>
              </w:rPr>
              <w:t>千瓦，管线长度不大于</w:t>
            </w:r>
            <w:r>
              <w:rPr>
                <w:rFonts w:ascii="Times New Roman" w:hAnsi="Times New Roman" w:eastAsia="Times New Roman" w:cs="Times New Roman"/>
                <w:color w:val="000000"/>
                <w:spacing w:val="0"/>
                <w:w w:val="100"/>
                <w:position w:val="0"/>
                <w:sz w:val="32"/>
                <w:szCs w:val="32"/>
              </w:rPr>
              <w:t>200</w:t>
            </w:r>
            <w:r>
              <w:rPr>
                <w:color w:val="000000"/>
                <w:spacing w:val="0"/>
                <w:w w:val="100"/>
                <w:position w:val="0"/>
              </w:rPr>
              <w:t>米。</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26" w:lineRule="exact"/>
              <w:ind w:left="0" w:right="0" w:firstLine="0"/>
              <w:jc w:val="left"/>
            </w:pPr>
            <w:r>
              <w:rPr>
                <w:color w:val="000000"/>
                <w:spacing w:val="0"/>
                <w:w w:val="100"/>
                <w:position w:val="0"/>
              </w:rPr>
              <w:t>市发展改革委、规划和自然资源局、交通运输局、住房城乡建设局、水务局、林业和园林局、城市管理综合执法局、公安交警支队。</w:t>
            </w:r>
          </w:p>
        </w:tc>
      </w:tr>
      <w:tr>
        <w:tblPrEx>
          <w:tblCellMar>
            <w:top w:w="0" w:type="dxa"/>
            <w:left w:w="10" w:type="dxa"/>
            <w:bottom w:w="0" w:type="dxa"/>
            <w:right w:w="10" w:type="dxa"/>
          </w:tblCellMar>
        </w:tblPrEx>
        <w:trPr>
          <w:trHeight w:val="2517" w:hRule="exact"/>
          <w:jc w:val="center"/>
        </w:trPr>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32"/>
                <w:szCs w:val="32"/>
              </w:rPr>
            </w:pPr>
            <w:r>
              <w:rPr>
                <w:rFonts w:ascii="Times New Roman" w:hAnsi="Times New Roman" w:eastAsia="Times New Roman" w:cs="Times New Roman"/>
                <w:color w:val="000000"/>
                <w:spacing w:val="0"/>
                <w:w w:val="100"/>
                <w:position w:val="0"/>
                <w:sz w:val="32"/>
                <w:szCs w:val="32"/>
                <w:lang w:val="zh-CN" w:eastAsia="zh-CN" w:bidi="zh-CN"/>
              </w:rPr>
              <w:t>12</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622" w:lineRule="exact"/>
              <w:ind w:left="0" w:right="0" w:firstLine="0"/>
              <w:jc w:val="both"/>
            </w:pPr>
            <w:r>
              <w:rPr>
                <w:rFonts w:hint="eastAsia"/>
                <w:color w:val="000000"/>
                <w:spacing w:val="0"/>
                <w:w w:val="100"/>
                <w:position w:val="0"/>
              </w:rPr>
              <w:t>优化工程质量安全监管模式。针对社会投资简易低风险工程建设项目，质量安全监督机构在项目建设至主体结构封顶后、装饰装修施工前实行一次定期监督检查，重点检查参建单位开展质量安全风险技术检查的情况、施工图设计文件审查意见修改情况等，检查结果计入各参建单位和相关人员的信用信息档案。</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both"/>
            </w:pPr>
            <w:r>
              <w:rPr>
                <w:color w:val="000000"/>
                <w:spacing w:val="0"/>
                <w:w w:val="100"/>
                <w:position w:val="0"/>
              </w:rPr>
              <w:t>市住房城乡建设局</w:t>
            </w:r>
          </w:p>
        </w:tc>
      </w:tr>
      <w:tr>
        <w:tblPrEx>
          <w:tblCellMar>
            <w:top w:w="0" w:type="dxa"/>
            <w:left w:w="10" w:type="dxa"/>
            <w:bottom w:w="0" w:type="dxa"/>
            <w:right w:w="10" w:type="dxa"/>
          </w:tblCellMar>
        </w:tblPrEx>
        <w:trPr>
          <w:trHeight w:val="2001" w:hRule="exact"/>
          <w:jc w:val="center"/>
        </w:trPr>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32"/>
                <w:szCs w:val="32"/>
              </w:rPr>
            </w:pPr>
            <w:r>
              <w:rPr>
                <w:rFonts w:ascii="Times New Roman" w:hAnsi="Times New Roman" w:eastAsia="Times New Roman" w:cs="Times New Roman"/>
                <w:color w:val="000000"/>
                <w:spacing w:val="0"/>
                <w:w w:val="100"/>
                <w:position w:val="0"/>
                <w:sz w:val="32"/>
                <w:szCs w:val="32"/>
                <w:lang w:val="zh-CN" w:eastAsia="zh-CN" w:bidi="zh-CN"/>
              </w:rPr>
              <w:t>13</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629" w:lineRule="exact"/>
              <w:ind w:left="0" w:right="0" w:firstLine="0"/>
              <w:jc w:val="both"/>
            </w:pPr>
            <w:r>
              <w:rPr>
                <w:rFonts w:hint="eastAsia"/>
                <w:color w:val="000000"/>
                <w:spacing w:val="0"/>
                <w:w w:val="100"/>
                <w:position w:val="0"/>
              </w:rPr>
              <w:t>严格落实联合验收制度。住房城乡建设、自然资源规划等部门的政府验收和五方责任主体竣工验收（建设、勘察、设计、施工、监理单位）在联合验收中一次性完成，时间压缩至5个工作日。联合验收通过后，同步发放工程竣工验收备案文件。竣工验收备案信息实时推送不动产登记中心。</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12" w:lineRule="exact"/>
              <w:ind w:left="0" w:right="0" w:firstLine="0"/>
              <w:jc w:val="both"/>
            </w:pPr>
            <w:r>
              <w:rPr>
                <w:color w:val="000000"/>
                <w:spacing w:val="0"/>
                <w:w w:val="100"/>
                <w:position w:val="0"/>
              </w:rPr>
              <w:t>市住房城乡建设局、规划和自然资源局、水务局</w:t>
            </w:r>
          </w:p>
        </w:tc>
      </w:tr>
      <w:tr>
        <w:tblPrEx>
          <w:tblCellMar>
            <w:top w:w="0" w:type="dxa"/>
            <w:left w:w="10" w:type="dxa"/>
            <w:bottom w:w="0" w:type="dxa"/>
            <w:right w:w="10" w:type="dxa"/>
          </w:tblCellMar>
        </w:tblPrEx>
        <w:trPr>
          <w:trHeight w:val="1495" w:hRule="exact"/>
          <w:jc w:val="center"/>
        </w:trPr>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imes New Roman" w:hAnsi="Times New Roman" w:eastAsia="Times New Roman" w:cs="Times New Roman"/>
                <w:color w:val="000000"/>
                <w:spacing w:val="0"/>
                <w:w w:val="100"/>
                <w:position w:val="0"/>
                <w:sz w:val="32"/>
                <w:szCs w:val="32"/>
                <w:lang w:val="en-US" w:eastAsia="zh-CN" w:bidi="zh-CN"/>
              </w:rPr>
            </w:pPr>
            <w:r>
              <w:rPr>
                <w:rFonts w:hint="eastAsia" w:ascii="Times New Roman" w:hAnsi="Times New Roman" w:eastAsia="Times New Roman" w:cs="Times New Roman"/>
                <w:color w:val="000000"/>
                <w:spacing w:val="0"/>
                <w:w w:val="100"/>
                <w:position w:val="0"/>
                <w:sz w:val="32"/>
                <w:szCs w:val="32"/>
                <w:lang w:val="en-US" w:eastAsia="zh-CN" w:bidi="zh-CN"/>
              </w:rPr>
              <w:t>14</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626" w:lineRule="exact"/>
              <w:ind w:left="0" w:leftChars="0" w:right="0" w:rightChars="0" w:firstLine="0" w:firstLineChars="0"/>
              <w:jc w:val="left"/>
              <w:rPr>
                <w:rFonts w:hint="eastAsia"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pPr>
            <w:r>
              <w:rPr>
                <w:color w:val="000000"/>
                <w:spacing w:val="0"/>
                <w:w w:val="100"/>
                <w:position w:val="0"/>
              </w:rPr>
              <w:t>简化简易低风险工程建设项目的不动产登记程序，企业持相关申请材料，直接申请办理不动产国有建设用地使用权及房屋所有权登记，</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个工作日内办结，免收登记费和工本费。</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280" w:line="240" w:lineRule="auto"/>
              <w:ind w:left="0" w:right="0" w:firstLine="0"/>
              <w:jc w:val="left"/>
            </w:pPr>
            <w:r>
              <w:rPr>
                <w:color w:val="000000"/>
                <w:spacing w:val="0"/>
                <w:w w:val="100"/>
                <w:position w:val="0"/>
              </w:rPr>
              <w:t>市自然资源和规划局、市发展改</w:t>
            </w:r>
          </w:p>
          <w:p>
            <w:pPr>
              <w:pStyle w:val="8"/>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pPr>
            <w:r>
              <w:rPr>
                <w:color w:val="000000"/>
                <w:spacing w:val="0"/>
                <w:w w:val="100"/>
                <w:position w:val="0"/>
              </w:rPr>
              <w:t>革委、市财政局</w:t>
            </w:r>
          </w:p>
        </w:tc>
      </w:tr>
      <w:tr>
        <w:tblPrEx>
          <w:tblCellMar>
            <w:top w:w="0" w:type="dxa"/>
            <w:left w:w="10" w:type="dxa"/>
            <w:bottom w:w="0" w:type="dxa"/>
            <w:right w:w="10" w:type="dxa"/>
          </w:tblCellMar>
        </w:tblPrEx>
        <w:trPr>
          <w:trHeight w:val="1788" w:hRule="exact"/>
          <w:jc w:val="center"/>
        </w:trPr>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default" w:ascii="Times New Roman" w:hAnsi="Times New Roman" w:eastAsia="Times New Roman" w:cs="Times New Roman"/>
                <w:color w:val="000000"/>
                <w:spacing w:val="0"/>
                <w:w w:val="100"/>
                <w:position w:val="0"/>
                <w:sz w:val="32"/>
                <w:szCs w:val="32"/>
                <w:lang w:val="en-US" w:eastAsia="zh-CN" w:bidi="zh-CN"/>
              </w:rPr>
            </w:pPr>
            <w:r>
              <w:rPr>
                <w:rFonts w:hint="eastAsia" w:ascii="Times New Roman" w:hAnsi="Times New Roman" w:eastAsia="Times New Roman" w:cs="Times New Roman"/>
                <w:color w:val="000000"/>
                <w:spacing w:val="0"/>
                <w:w w:val="100"/>
                <w:position w:val="0"/>
                <w:sz w:val="32"/>
                <w:szCs w:val="32"/>
                <w:lang w:val="en-US" w:eastAsia="zh-CN" w:bidi="zh-CN"/>
              </w:rPr>
              <w:t>15</w:t>
            </w: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619" w:lineRule="exact"/>
              <w:ind w:left="0" w:leftChars="0" w:right="0" w:rightChars="0" w:firstLine="0" w:firstLineChars="0"/>
              <w:jc w:val="both"/>
              <w:rPr>
                <w:rFonts w:hint="eastAsia"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pPr>
            <w:r>
              <w:rPr>
                <w:color w:val="000000"/>
                <w:spacing w:val="0"/>
                <w:w w:val="100"/>
                <w:position w:val="0"/>
              </w:rPr>
              <w:t>开展工程质量潜在缺陷责任保险试点工作，建设单位可通过购买工程质量潜在缺陷责任保险（或类似保险产品）的方式，防范和化解工程质量风险，保证工程质量，保障工程所有人权益。</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641" w:lineRule="exact"/>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pPr>
            <w:r>
              <w:rPr>
                <w:color w:val="000000"/>
                <w:spacing w:val="0"/>
                <w:w w:val="100"/>
                <w:position w:val="0"/>
              </w:rPr>
              <w:t>市住房城乡建设局</w:t>
            </w:r>
          </w:p>
        </w:tc>
      </w:tr>
    </w:tbl>
    <w:p>
      <w:pPr>
        <w:spacing w:line="1" w:lineRule="exact"/>
        <w:sectPr>
          <w:footerReference r:id="rId5" w:type="default"/>
          <w:footerReference r:id="rId6" w:type="even"/>
          <w:footnotePr>
            <w:numFmt w:val="decimal"/>
          </w:footnotePr>
          <w:pgSz w:w="23800" w:h="16840" w:orient="landscape"/>
          <w:pgMar w:top="1699" w:right="1752" w:bottom="2269" w:left="1276" w:header="0" w:footer="3" w:gutter="0"/>
          <w:cols w:space="720" w:num="1"/>
          <w:rtlGutter w:val="0"/>
          <w:docGrid w:linePitch="360" w:charSpace="0"/>
        </w:sectPr>
      </w:pPr>
    </w:p>
    <w:p/>
    <w:sectPr>
      <w:pgSz w:w="23811" w:h="16838" w:orient="landscape"/>
      <w:pgMar w:top="1701" w:right="1752" w:bottom="2268" w:left="1276" w:header="0" w:footer="6" w:gutter="0"/>
      <w:cols w:space="0" w:num="1"/>
      <w:rtlGutter w:val="0"/>
      <w:docGrid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24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501D8"/>
    <w:rsid w:val="05DC122F"/>
    <w:rsid w:val="07E501D8"/>
    <w:rsid w:val="6FBD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3"/>
    <w:basedOn w:val="1"/>
    <w:qFormat/>
    <w:uiPriority w:val="0"/>
    <w:pPr>
      <w:widowControl w:val="0"/>
      <w:shd w:val="clear" w:color="auto" w:fill="auto"/>
      <w:spacing w:line="689" w:lineRule="exact"/>
      <w:jc w:val="center"/>
    </w:pPr>
    <w:rPr>
      <w:rFonts w:ascii="宋体" w:hAnsi="宋体" w:eastAsia="宋体" w:cs="宋体"/>
      <w:sz w:val="42"/>
      <w:szCs w:val="42"/>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Body text|5"/>
    <w:basedOn w:val="1"/>
    <w:qFormat/>
    <w:uiPriority w:val="0"/>
    <w:pPr>
      <w:widowControl w:val="0"/>
      <w:shd w:val="clear" w:color="auto" w:fill="auto"/>
      <w:jc w:val="center"/>
    </w:pPr>
    <w:rPr>
      <w:sz w:val="32"/>
      <w:szCs w:val="32"/>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600" w:line="680" w:lineRule="exact"/>
      <w:outlineLvl w:val="1"/>
    </w:pPr>
    <w:rPr>
      <w:rFonts w:ascii="宋体" w:hAnsi="宋体" w:eastAsia="宋体" w:cs="宋体"/>
      <w:sz w:val="42"/>
      <w:szCs w:val="42"/>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2020-09-13T18:33:00Z</dcterms:created>
  <dc:creator>罢扯犊子</dc:creator>
  <cp:lastModifiedBy>罢扯犊子</cp:lastModifiedBy>
  <dcterms:modified xsi:type="dcterms:W3CDTF">2020-09-14T01:57:32Z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